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23682E" w:rsidRDefault="00705BEE" w:rsidP="00430D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23682E" w:rsidRDefault="0023682E" w:rsidP="00430D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23682E" w:rsidRDefault="0023682E" w:rsidP="00430D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DC78CA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Газета  официальных документов  администрации  и</w:t>
      </w:r>
    </w:p>
    <w:p w:rsidR="0023682E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DC78CA">
        <w:rPr>
          <w:rFonts w:ascii="Times New Roman" w:hAnsi="Times New Roman"/>
          <w:b/>
          <w:u w:val="single"/>
        </w:rPr>
        <w:t>9</w:t>
      </w:r>
      <w:r w:rsidR="00EC3B49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DC78CA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</w:t>
      </w:r>
      <w:r w:rsidR="00EC3B49">
        <w:rPr>
          <w:rFonts w:ascii="Times New Roman" w:hAnsi="Times New Roman"/>
        </w:rPr>
        <w:t>февраля</w:t>
      </w:r>
      <w:r w:rsidR="00E11D4D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 xml:space="preserve"> г           </w:t>
      </w:r>
      <w:r w:rsidR="00E11D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Совета депутатов  Пятилетского сельсовета Черепановского района</w:t>
      </w:r>
    </w:p>
    <w:p w:rsidR="0023682E" w:rsidRPr="00994FE9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</w:rPr>
      </w:pPr>
    </w:p>
    <w:p w:rsidR="002743D7" w:rsidRDefault="00EC3B49" w:rsidP="002743D7">
      <w:pPr>
        <w:spacing w:after="0" w:line="240" w:lineRule="auto"/>
        <w:rPr>
          <w:rFonts w:ascii="Times New Roman" w:hAnsi="Times New Roman"/>
        </w:rPr>
      </w:pPr>
      <w:r>
        <w:rPr>
          <w:rFonts w:cs="Calibri"/>
          <w:noProof/>
          <w:lang w:eastAsia="ru-RU"/>
        </w:rPr>
        <w:drawing>
          <wp:inline distT="0" distB="0" distL="0" distR="0" wp14:anchorId="2B941DD8" wp14:editId="6C49A68E">
            <wp:extent cx="2981325" cy="10953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2053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997588" cy="11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49" w:rsidRPr="002743D7" w:rsidRDefault="00EC3B49" w:rsidP="002743D7">
      <w:pPr>
        <w:spacing w:after="0" w:line="240" w:lineRule="auto"/>
        <w:rPr>
          <w:rFonts w:ascii="Times New Roman" w:hAnsi="Times New Roman"/>
        </w:rPr>
      </w:pPr>
    </w:p>
    <w:p w:rsidR="00DC78CA" w:rsidRPr="00DC78CA" w:rsidRDefault="00DC78CA" w:rsidP="00DC78CA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видов разрешенного использования </w:t>
      </w:r>
      <w:r>
        <w:rPr>
          <w:b/>
          <w:sz w:val="28"/>
          <w:szCs w:val="28"/>
        </w:rPr>
        <w:br/>
        <w:t xml:space="preserve">земельных участков 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8CA">
        <w:rPr>
          <w:rFonts w:ascii="Times New Roman" w:hAnsi="Times New Roman" w:cs="Times New Roman"/>
          <w:sz w:val="28"/>
          <w:szCs w:val="28"/>
        </w:rPr>
        <w:t xml:space="preserve">С 1 марта 2026 года вступает в силу Федеральный закон от 31.07.2025 № 295-ФЗ «О внесении изменений в Земельный кодекс Российской Федерации, отдельные законодательные акты Российской Федерации </w:t>
      </w:r>
      <w:r w:rsidRPr="00DC78CA">
        <w:rPr>
          <w:rFonts w:ascii="Times New Roman" w:hAnsi="Times New Roman" w:cs="Times New Roman"/>
          <w:sz w:val="28"/>
          <w:szCs w:val="28"/>
        </w:rPr>
        <w:br/>
        <w:t xml:space="preserve">и признании утратившими силу отдельных положений законодательных актов Российской Федерации», который вносит значительные изменения </w:t>
      </w:r>
      <w:r w:rsidRPr="00DC78CA">
        <w:rPr>
          <w:rFonts w:ascii="Times New Roman" w:hAnsi="Times New Roman" w:cs="Times New Roman"/>
          <w:sz w:val="28"/>
          <w:szCs w:val="28"/>
        </w:rPr>
        <w:br/>
        <w:t xml:space="preserve">в земельное законодательство в части установления и изменения видов разрешенного использования земельных участков. </w:t>
      </w:r>
      <w:proofErr w:type="gramEnd"/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В настоящее время отсутствие четкого правового регулирования </w:t>
      </w:r>
      <w:proofErr w:type="gramStart"/>
      <w:r w:rsidRPr="00DC78CA">
        <w:rPr>
          <w:rFonts w:ascii="Times New Roman" w:hAnsi="Times New Roman" w:cs="Times New Roman"/>
          <w:sz w:val="28"/>
          <w:szCs w:val="28"/>
        </w:rPr>
        <w:t>процедуры установления видов разрешенного использования земельных участков разных категорий</w:t>
      </w:r>
      <w:proofErr w:type="gramEnd"/>
      <w:r w:rsidRPr="00DC78CA">
        <w:rPr>
          <w:rFonts w:ascii="Times New Roman" w:hAnsi="Times New Roman" w:cs="Times New Roman"/>
          <w:sz w:val="28"/>
          <w:szCs w:val="28"/>
        </w:rPr>
        <w:t xml:space="preserve"> создает значительные проблемы для пользователей земли, арендаторов и владельцев при реализации прав пользования земельными участками.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Новый закон должен помочь в решении проблем, исключении рисков в части правоотношений, связанных с объектами недвижимости, в частности </w:t>
      </w:r>
      <w:r w:rsidRPr="00DC78CA">
        <w:rPr>
          <w:rFonts w:ascii="Times New Roman" w:hAnsi="Times New Roman" w:cs="Times New Roman"/>
          <w:sz w:val="28"/>
          <w:szCs w:val="28"/>
        </w:rPr>
        <w:br/>
        <w:t>с земельными участками.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В первую очередь закон вводит понятие «вида разрешенного использования земельного участка» — вид деятельности, который с учетом установленных ограничений допускается осуществлять на земельном участке, а также над и под его поверхностью.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регламенты их использования с 1 марта 2026 года будут устанавливаться в соответствии со следующими документами: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- Градостроительными регламентами в составе Правил землепользования и застройки для земель населенных пунктов; 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- Лесохозяйственными регламентами для земель лесного фонда;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- Положениями об особо охраняемых природных территориях;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- Отдельными федеральными законами для земель иных категорий, например, для земель сельскохозяйственного назначения; земельных участков в границах «территорий» объектов культурного наследия;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lastRenderedPageBreak/>
        <w:t>- Документацией по планировке территории (проект планировки или проект межевания территории) в отношении земельных участков для размещения линейных объектов и для строительства и реконструкции транспортно-пересадочных узлов;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- Решением уполномоченного органа при образовании земельных участков из земель и участков, находящихся в государственной </w:t>
      </w:r>
      <w:r w:rsidRPr="00DC78CA">
        <w:rPr>
          <w:rFonts w:ascii="Times New Roman" w:hAnsi="Times New Roman" w:cs="Times New Roman"/>
          <w:sz w:val="28"/>
          <w:szCs w:val="28"/>
        </w:rPr>
        <w:br/>
        <w:t>или муниципальной собственности;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- Лицензией на пользование недрами или проектной документацией </w:t>
      </w:r>
      <w:r w:rsidRPr="00DC78CA">
        <w:rPr>
          <w:rFonts w:ascii="Times New Roman" w:hAnsi="Times New Roman" w:cs="Times New Roman"/>
          <w:sz w:val="28"/>
          <w:szCs w:val="28"/>
        </w:rPr>
        <w:br/>
        <w:t>на осуществление пользования недрами. 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Также законом установлено правило, что разрешенное использование (назначение) зданий или сооружений должно соответствовать виду разрешенного использования земельного участка, на котором они расположены.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Законом решена правовая коллизия относительно возможности/</w:t>
      </w:r>
      <w:proofErr w:type="gramStart"/>
      <w:r w:rsidRPr="00DC78CA">
        <w:rPr>
          <w:rFonts w:ascii="Times New Roman" w:hAnsi="Times New Roman" w:cs="Times New Roman"/>
          <w:sz w:val="28"/>
          <w:szCs w:val="28"/>
        </w:rPr>
        <w:t>невозможности изменения вида разрешенного использования арендованного земельного участка</w:t>
      </w:r>
      <w:proofErr w:type="gramEnd"/>
      <w:r w:rsidRPr="00DC78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Арендатор должен использовать земельный участок только с тем видом разрешенного использования, который установлен в договоре аренды.</w:t>
      </w:r>
    </w:p>
    <w:p w:rsidR="00DC78CA" w:rsidRPr="00DC78CA" w:rsidRDefault="00DC78CA" w:rsidP="00DC78CA">
      <w:pPr>
        <w:tabs>
          <w:tab w:val="left" w:pos="11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C78CA" w:rsidRPr="00DC78CA" w:rsidRDefault="00DC78CA" w:rsidP="00DC78C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8CA">
        <w:rPr>
          <w:rFonts w:ascii="Times New Roman" w:hAnsi="Times New Roman" w:cs="Times New Roman"/>
          <w:b/>
          <w:sz w:val="28"/>
          <w:szCs w:val="28"/>
        </w:rPr>
        <w:t>В Новосибирской области проходит кадастровая оценка земель</w:t>
      </w:r>
    </w:p>
    <w:p w:rsidR="00DC78CA" w:rsidRPr="00DC78CA" w:rsidRDefault="00DC78CA" w:rsidP="00DC78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В 2026 году в Новосибирской области проходит очередная государственная кадастровая оценка земельных участков. Переоценку пройдут более 1 млн. земельных участков всех категорий, учтенных в Едином государственном реестре недвижимости – </w:t>
      </w:r>
      <w:proofErr w:type="gramStart"/>
      <w:r w:rsidRPr="00DC78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C78CA">
        <w:rPr>
          <w:rFonts w:ascii="Times New Roman" w:hAnsi="Times New Roman" w:cs="Times New Roman"/>
          <w:sz w:val="28"/>
          <w:szCs w:val="28"/>
        </w:rPr>
        <w:t xml:space="preserve"> жилых, садовых, сельскохозяйственных до коммерческих, промышленных и природных.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Работы по государственной кадастровой оценке земель и расчету кадастровой стоимости выполняет государственное бюджетное учреждение Новосибирской области «Новосибирский центр кадастровой оценки и инвентаризации».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От величины кадастровой стоимости участков зависит размер земельного налога. Она используется при расчете госпошлины при нотариальном удостоверении сделок с недвижимостью, арендной платы за использование земельных участков, находящихся в государственной или муниципальной собственности, компенсации при изъятии недвижимости для государственных нужд, при расчете их выкупной цены у государства.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Сегодня кадастровая стоимость всей недвижимости Новосибирской области составляет 13,5 триллионов рублей.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Из этой стоимости 2/3 приходится на недвижимость Новосибирска - 8,95 триллионов рублей (66%).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Земля областного центра «стоит» 446,8 млрд. рублей, это 1/3 кадастровой стоимости всех земельных участков региона.</w:t>
      </w:r>
    </w:p>
    <w:p w:rsidR="00DC78CA" w:rsidRPr="00DC78CA" w:rsidRDefault="00DC78CA" w:rsidP="00DC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Напомним, что предыдущая кадастровая оценка земельных участков проводилась в 2022 году.</w:t>
      </w:r>
    </w:p>
    <w:p w:rsidR="00DC78CA" w:rsidRPr="00DC78CA" w:rsidRDefault="00DC78CA" w:rsidP="00DC7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78CA" w:rsidRPr="00DC78CA" w:rsidRDefault="00DC78CA" w:rsidP="00DC78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не купить «воздух» вместо квартиры</w:t>
      </w:r>
    </w:p>
    <w:p w:rsidR="00DC78CA" w:rsidRPr="00DC78CA" w:rsidRDefault="00DC78CA" w:rsidP="00DC78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Покупка квартиры по переуступке прав может быть выгодной, но риск мошенничества здесь высок. Главная опасность — вам могут продать право, которое уже перепродали другому или которого не существует.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Как же убедиться, что вы покупаете реальное право на квартиру,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не «воздух»? 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Рассказываем по шагам о том, что важно проверить перед сделкой: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Убедитесь, что первый договор участия в долевом строительстве (ДДУ) зарегистрирован в </w:t>
      </w:r>
      <w:proofErr w:type="spellStart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Росреестре</w:t>
      </w:r>
      <w:proofErr w:type="spellEnd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, для этого запросите у прежнего дольщика актуальную выписку из Единого государственного реестра недвижимости (ЕГРН), в которой он должен быть указан как сторона договора.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Получите справку от застройщика об оплате цены договора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или выписку  из уполномоченного банка о поступлении денежных средств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счет </w:t>
      </w:r>
      <w:proofErr w:type="spellStart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3. Удостоверьтесь, что прежний дольщик не является банкротом – воспользуйтесь Единым федеральным реестром сведений о банкротстве (https://bankrot.fedresurs.ru).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4. Проверьте новостройку в реестре проблемных объектов на сайте Единой информационной системы жилищного строительства (https://наш</w:t>
      </w:r>
      <w:proofErr w:type="gramStart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ом.рф).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Зарегистрируйте подписанное сторонами соглашение об уступке прав требования по ДДУ в </w:t>
      </w:r>
      <w:proofErr w:type="spellStart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Росреестре</w:t>
      </w:r>
      <w:proofErr w:type="spellEnd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. Для этого вместе с текущим правообладателем подайте заявления в удобном формате: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- в электронном виде;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- лично обратившись в офис МФЦ, если одна из сторон сделки физическое лицо.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после государственной регистрации соглашения об уступке прав требования по ДДУ в </w:t>
      </w:r>
      <w:proofErr w:type="spellStart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Росреестре</w:t>
      </w:r>
      <w:proofErr w:type="spellEnd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становитесь законным новым дольщиком. </w:t>
      </w:r>
      <w:proofErr w:type="gramStart"/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подтверждение этому Вы получите выписку из ЕГРН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зарегистрированных ДДУ, в сведениях которой Вы будете указаны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качестве участника в долевом строительстве.</w:t>
      </w:r>
      <w:proofErr w:type="gramEnd"/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рекомендации помогут обезопасить себя от потери денег и проблем </w:t>
      </w:r>
      <w:r w:rsidRPr="00DC78C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документами и стать полноправным собственником квартиры.</w:t>
      </w:r>
    </w:p>
    <w:p w:rsidR="006F0360" w:rsidRPr="00DC78CA" w:rsidRDefault="006F0360" w:rsidP="00DC78CA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</w:p>
    <w:p w:rsidR="00DC78CA" w:rsidRPr="00DC78CA" w:rsidRDefault="00DC78CA" w:rsidP="00DC78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8CA">
        <w:rPr>
          <w:rFonts w:ascii="Times New Roman" w:hAnsi="Times New Roman" w:cs="Times New Roman"/>
          <w:b/>
          <w:sz w:val="28"/>
          <w:szCs w:val="28"/>
        </w:rPr>
        <w:t>С какого момента можно эксплуатировать объект недвижимости</w:t>
      </w:r>
    </w:p>
    <w:p w:rsidR="00DC78CA" w:rsidRPr="00DC78CA" w:rsidRDefault="00DC78CA" w:rsidP="00DC78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В Новосибирской области ежегодно увеличивается количество объектов недвижимости. Все они вносятся в Единый государственный реестр недвижимости при наличии обязательных технических документов. Только </w:t>
      </w:r>
      <w:r w:rsidRPr="00DC78CA">
        <w:rPr>
          <w:rFonts w:ascii="Times New Roman" w:hAnsi="Times New Roman" w:cs="Times New Roman"/>
          <w:sz w:val="28"/>
          <w:szCs w:val="28"/>
        </w:rPr>
        <w:br/>
        <w:t xml:space="preserve">в 2025 году в реестр внесено более 53,5 тысяч объектов: зданий, сооружений, помещений, единых недвижимых комплексов. 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Существует ряд правил, соблюдение которых обязательно для начала эксплуатации нового объекта недвижимости. </w:t>
      </w:r>
    </w:p>
    <w:p w:rsidR="00DC78CA" w:rsidRPr="00DC78CA" w:rsidRDefault="00DC78CA" w:rsidP="00DC78CA">
      <w:pPr>
        <w:pStyle w:val="a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DC78CA">
        <w:rPr>
          <w:rFonts w:ascii="Times New Roman" w:hAnsi="Times New Roman" w:cs="Times New Roman"/>
          <w:sz w:val="28"/>
          <w:szCs w:val="28"/>
        </w:rPr>
        <w:t xml:space="preserve">Если строительство недвижимости возможно только при наличии разрешения на строительство - строительство считается завершенным </w:t>
      </w:r>
      <w:r w:rsidRPr="00DC78CA">
        <w:rPr>
          <w:rFonts w:ascii="Times New Roman" w:hAnsi="Times New Roman" w:cs="Times New Roman"/>
          <w:sz w:val="28"/>
          <w:szCs w:val="28"/>
        </w:rPr>
        <w:br/>
        <w:t>с момента получения разрешения на ввод объекта в эксплуатацию (например, торговый центр). Эксплуатация такого объекта допускается </w:t>
      </w:r>
      <w:r w:rsidRPr="00DC78CA">
        <w:rPr>
          <w:rStyle w:val="13"/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после получения разрешения на ввод объекта в эксплуатацию</w:t>
      </w:r>
      <w:r w:rsidRPr="00DC78CA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 </w:t>
      </w:r>
      <w:r w:rsidRPr="00DC78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и постановки его </w:t>
      </w:r>
      <w:r w:rsidRPr="00DC78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br/>
        <w:t xml:space="preserve">на государственный кадастровый учет. </w:t>
      </w:r>
    </w:p>
    <w:p w:rsidR="00DC78CA" w:rsidRPr="00DC78CA" w:rsidRDefault="00DC78CA" w:rsidP="00DC78CA">
      <w:pPr>
        <w:pStyle w:val="a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Для индивидуального жилого или садового дома </w:t>
      </w:r>
      <w:r w:rsidRPr="00DC78CA">
        <w:rPr>
          <w:rFonts w:ascii="Times New Roman" w:hAnsi="Times New Roman" w:cs="Times New Roman"/>
          <w:sz w:val="28"/>
          <w:szCs w:val="28"/>
        </w:rPr>
        <w:t xml:space="preserve">строительство считается завершенным с момента выдачи уведомления о соответствии </w:t>
      </w:r>
      <w:proofErr w:type="gramStart"/>
      <w:r w:rsidRPr="00DC78CA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Pr="00DC78CA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DC78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эксплуатация возможна после направления уведомления </w:t>
      </w:r>
      <w:r w:rsidRPr="00DC78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br/>
        <w:t>об окончании строительства и постановки на кадастровый учет.</w:t>
      </w:r>
    </w:p>
    <w:p w:rsidR="00DC78CA" w:rsidRPr="00DC78CA" w:rsidRDefault="00DC78CA" w:rsidP="00DC78C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Если для строительства объекта недвижимости не требуются получение разрешения на строительство и (или) подготовка проектной документации - строительство считается завершенным со дня осуществления государственного кадастрового учета. К таким объектам относятся, например, бани, гараж для собственных нужд.</w:t>
      </w:r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8CA">
        <w:rPr>
          <w:rFonts w:ascii="Times New Roman" w:hAnsi="Times New Roman" w:cs="Times New Roman"/>
          <w:sz w:val="28"/>
          <w:szCs w:val="28"/>
        </w:rPr>
        <w:t xml:space="preserve">Чтобы начать эксплуатировать построенный объект, застройщик обязан или обратиться с заявлением о выдаче разрешения на ввод объекта (когда строительство велось на основании разрешения на строительство) </w:t>
      </w:r>
      <w:r w:rsidRPr="00DC78CA">
        <w:rPr>
          <w:rFonts w:ascii="Times New Roman" w:hAnsi="Times New Roman" w:cs="Times New Roman"/>
          <w:sz w:val="28"/>
          <w:szCs w:val="28"/>
        </w:rPr>
        <w:br/>
        <w:t xml:space="preserve">в администрацию (мэрию) или подготовить и представить в </w:t>
      </w:r>
      <w:proofErr w:type="spellStart"/>
      <w:r w:rsidRPr="00DC78C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C78CA">
        <w:rPr>
          <w:rFonts w:ascii="Times New Roman" w:hAnsi="Times New Roman" w:cs="Times New Roman"/>
          <w:sz w:val="28"/>
          <w:szCs w:val="28"/>
        </w:rPr>
        <w:t xml:space="preserve"> документы для осуществления кадастрового учета и регистрации прав </w:t>
      </w:r>
      <w:r w:rsidRPr="00DC78CA">
        <w:rPr>
          <w:rFonts w:ascii="Times New Roman" w:hAnsi="Times New Roman" w:cs="Times New Roman"/>
          <w:sz w:val="28"/>
          <w:szCs w:val="28"/>
        </w:rPr>
        <w:br/>
        <w:t>на здание, сооружение (если для строительства или реконструкции таких здания, сооружения не требовалось получение разрешения на строительство).</w:t>
      </w:r>
      <w:proofErr w:type="gramEnd"/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Государственный кадастровый учет созданных объектов недвижимости осуществляется на основании технического плана, подготовленного кадастровым инженером.</w:t>
      </w:r>
      <w:bookmarkStart w:id="0" w:name="undefined"/>
      <w:bookmarkEnd w:id="0"/>
    </w:p>
    <w:p w:rsidR="00DC78CA" w:rsidRPr="00DC78CA" w:rsidRDefault="00DC78CA" w:rsidP="00DC7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8CA">
        <w:rPr>
          <w:rFonts w:ascii="Times New Roman" w:hAnsi="Times New Roman" w:cs="Times New Roman"/>
          <w:sz w:val="28"/>
          <w:szCs w:val="28"/>
        </w:rPr>
        <w:t>Выявленный факт эксплуатации недвижимости без соблюдения данных правил будет рассматриваться как нарушение законодательства.</w:t>
      </w:r>
    </w:p>
    <w:p w:rsidR="00DC78CA" w:rsidRPr="00DC78CA" w:rsidRDefault="00DC78CA" w:rsidP="00DC78CA">
      <w:pPr>
        <w:tabs>
          <w:tab w:val="left" w:pos="11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A" w:rsidRDefault="00DC78CA" w:rsidP="00DC78C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DC78CA" w:rsidRDefault="00DC78CA" w:rsidP="00DC78C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DC78CA" w:rsidRDefault="00DC78CA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1F519B" w:rsidRPr="00EC3B49" w:rsidRDefault="001F519B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  <w:bookmarkStart w:id="1" w:name="_GoBack"/>
      <w:bookmarkEnd w:id="1"/>
    </w:p>
    <w:tbl>
      <w:tblPr>
        <w:tblpPr w:leftFromText="180" w:rightFromText="180" w:bottomFromText="200" w:vertAnchor="text" w:horzAnchor="margin" w:tblpY="404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04"/>
        <w:gridCol w:w="1701"/>
      </w:tblGrid>
      <w:tr w:rsidR="002743D7" w:rsidRPr="00E11998" w:rsidTr="002743D7">
        <w:trPr>
          <w:trHeight w:val="837"/>
        </w:trPr>
        <w:tc>
          <w:tcPr>
            <w:tcW w:w="2518" w:type="dxa"/>
          </w:tcPr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4" w:type="dxa"/>
          </w:tcPr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701" w:type="dxa"/>
          </w:tcPr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Pr="00E32D6C" w:rsidRDefault="006A6ED6" w:rsidP="004305AA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sectPr w:rsidR="006A6ED6" w:rsidSect="009D1B6D">
      <w:pgSz w:w="11906" w:h="16838"/>
      <w:pgMar w:top="568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EE" w:rsidRDefault="00705BEE" w:rsidP="009D1B6D">
      <w:pPr>
        <w:spacing w:after="0" w:line="240" w:lineRule="auto"/>
      </w:pPr>
      <w:r>
        <w:separator/>
      </w:r>
    </w:p>
  </w:endnote>
  <w:endnote w:type="continuationSeparator" w:id="0">
    <w:p w:rsidR="00705BEE" w:rsidRDefault="00705BEE" w:rsidP="009D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EE" w:rsidRDefault="00705BEE" w:rsidP="009D1B6D">
      <w:pPr>
        <w:spacing w:after="0" w:line="240" w:lineRule="auto"/>
      </w:pPr>
      <w:r>
        <w:separator/>
      </w:r>
    </w:p>
  </w:footnote>
  <w:footnote w:type="continuationSeparator" w:id="0">
    <w:p w:rsidR="00705BEE" w:rsidRDefault="00705BEE" w:rsidP="009D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70F6A"/>
    <w:multiLevelType w:val="hybridMultilevel"/>
    <w:tmpl w:val="D22691BA"/>
    <w:lvl w:ilvl="0" w:tplc="108E9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B16D6F"/>
    <w:multiLevelType w:val="hybridMultilevel"/>
    <w:tmpl w:val="79F660CA"/>
    <w:lvl w:ilvl="0" w:tplc="54DE41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1839CC"/>
    <w:multiLevelType w:val="hybridMultilevel"/>
    <w:tmpl w:val="250A549E"/>
    <w:lvl w:ilvl="0" w:tplc="FA88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56"/>
    <w:rsid w:val="000A1534"/>
    <w:rsid w:val="000C0C92"/>
    <w:rsid w:val="0010188F"/>
    <w:rsid w:val="00191869"/>
    <w:rsid w:val="001F519B"/>
    <w:rsid w:val="0023682E"/>
    <w:rsid w:val="00263356"/>
    <w:rsid w:val="002743D7"/>
    <w:rsid w:val="00285EEA"/>
    <w:rsid w:val="002A5F51"/>
    <w:rsid w:val="003C5B88"/>
    <w:rsid w:val="004305AA"/>
    <w:rsid w:val="00430D59"/>
    <w:rsid w:val="00661200"/>
    <w:rsid w:val="00667797"/>
    <w:rsid w:val="006A6ED6"/>
    <w:rsid w:val="006F0360"/>
    <w:rsid w:val="00705BEE"/>
    <w:rsid w:val="008D02F6"/>
    <w:rsid w:val="00903E2F"/>
    <w:rsid w:val="00924A9F"/>
    <w:rsid w:val="009D1B6D"/>
    <w:rsid w:val="00A03E08"/>
    <w:rsid w:val="00A204AC"/>
    <w:rsid w:val="00AB7932"/>
    <w:rsid w:val="00B543E5"/>
    <w:rsid w:val="00B96433"/>
    <w:rsid w:val="00D2710C"/>
    <w:rsid w:val="00DC78CA"/>
    <w:rsid w:val="00E11D4D"/>
    <w:rsid w:val="00E71F1B"/>
    <w:rsid w:val="00EC3B49"/>
    <w:rsid w:val="00F07A32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character" w:styleId="af">
    <w:name w:val="Hyperlink"/>
    <w:rsid w:val="004305AA"/>
    <w:rPr>
      <w:color w:val="0000FF"/>
      <w:u w:val="single"/>
    </w:rPr>
  </w:style>
  <w:style w:type="paragraph" w:customStyle="1" w:styleId="ConsPlusNormal">
    <w:name w:val="ConsPlusNormal"/>
    <w:rsid w:val="00274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uiPriority w:val="22"/>
    <w:qFormat/>
    <w:rsid w:val="00EC3B49"/>
    <w:rPr>
      <w:b/>
      <w:bCs/>
    </w:rPr>
  </w:style>
  <w:style w:type="character" w:customStyle="1" w:styleId="13">
    <w:name w:val="Строгий1"/>
    <w:uiPriority w:val="22"/>
    <w:qFormat/>
    <w:rsid w:val="00DC78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character" w:styleId="af">
    <w:name w:val="Hyperlink"/>
    <w:rsid w:val="004305AA"/>
    <w:rPr>
      <w:color w:val="0000FF"/>
      <w:u w:val="single"/>
    </w:rPr>
  </w:style>
  <w:style w:type="paragraph" w:customStyle="1" w:styleId="ConsPlusNormal">
    <w:name w:val="ConsPlusNormal"/>
    <w:rsid w:val="00274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uiPriority w:val="22"/>
    <w:qFormat/>
    <w:rsid w:val="00EC3B49"/>
    <w:rPr>
      <w:b/>
      <w:bCs/>
    </w:rPr>
  </w:style>
  <w:style w:type="character" w:customStyle="1" w:styleId="13">
    <w:name w:val="Строгий1"/>
    <w:uiPriority w:val="22"/>
    <w:qFormat/>
    <w:rsid w:val="00DC7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1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7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3572-18FB-404E-984A-95816AB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Покупка квартиры по переуступке прав может быть выгодной, но риск мошенничества </vt:lpstr>
      <vt:lpstr>Рассказываем по шагам о том, что важно проверить перед сделкой:</vt:lpstr>
      <vt:lpstr>1. Убедитесь, что первый договор участия в долевом строительстве (ДДУ) зарегистр</vt:lpstr>
      <vt:lpstr>2. Получите справку от застройщика об оплате цены договора  или выписку  из упол</vt:lpstr>
      <vt:lpstr>3. Удостоверьтесь, что прежний дольщик не является банкротом – воспользуйтесь Ед</vt:lpstr>
      <vt:lpstr>4. Проверьте новостройку в реестре проблемных объектов на сайте Единой информаци</vt:lpstr>
      <vt:lpstr>5. Зарегистрируйте подписанное сторонами соглашение об уступке прав требования п</vt:lpstr>
      <vt:lpstr>- в электронном виде;</vt:lpstr>
      <vt:lpstr>- лично обратившись в офис МФЦ, если одна из сторон сделки физическое лицо.</vt:lpstr>
      <vt:lpstr>Только после государственной регистрации соглашения об уступке прав требования п</vt:lpstr>
      <vt:lpstr>Эти рекомендации помогут обезопасить себя от потери денег и проблем  с документа</vt:lpstr>
    </vt:vector>
  </TitlesOfParts>
  <Company>SPecialiST RePack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2026-02-25T09:12:00Z</cp:lastPrinted>
  <dcterms:created xsi:type="dcterms:W3CDTF">2025-05-28T09:35:00Z</dcterms:created>
  <dcterms:modified xsi:type="dcterms:W3CDTF">2026-02-25T09:12:00Z</dcterms:modified>
</cp:coreProperties>
</file>