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709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824184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09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09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09"/>
        <w:jc w:val="center"/>
        <w:rPr>
          <w:rFonts w:ascii="PT Astra Serif" w:hAnsi="PT Astra Serif" w:cs="PT Astra Serif"/>
          <w:sz w:val="32"/>
          <w:szCs w:val="3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32"/>
          <w:szCs w:val="32"/>
          <w:highlight w:val="none"/>
        </w:rPr>
        <w:t xml:space="preserve">Признаки неиспользования земельных участков</w:t>
      </w:r>
      <w:r>
        <w:rPr>
          <w:rFonts w:ascii="PT Astra Serif" w:hAnsi="PT Astra Serif" w:cs="PT Astra Serif"/>
          <w:sz w:val="32"/>
          <w:szCs w:val="32"/>
          <w:highlight w:val="none"/>
        </w:rPr>
      </w:r>
      <w:r>
        <w:rPr>
          <w:rFonts w:ascii="PT Astra Serif" w:hAnsi="PT Astra Serif" w:cs="PT Astra Serif"/>
          <w:sz w:val="32"/>
          <w:szCs w:val="32"/>
          <w:highlight w:val="none"/>
        </w:rPr>
      </w:r>
    </w:p>
    <w:p>
      <w:pPr>
        <w:contextualSpacing/>
        <w:ind w:left="0" w:right="0" w:firstLine="709"/>
        <w:jc w:val="both"/>
        <w:rPr>
          <w:rFonts w:ascii="PT Astra Serif" w:hAnsi="PT Astra Serif" w:cs="PT Astra Serif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1 сентября 2025 года вступило в силу постановление Правительства РФ от 31 мая 2025 года № 826, которым утвержден перечень признаков неиспользования земельных участков из состава земель населенных пунктов, садов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ых и огородных участков. Также Федеральный закон 307-ФЗ определят трехлетний срок для освоения земельных участков. К признакам неиспользования, например, отнесены захламление или загрязнение отходами более половины площади участка; зарастание более половин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 участка сорными растениями высотой более 1 м; отсутствие здания или сооружения в течение 5 лет на участке, предназначенном для строительства, но не ИЖС, или 7 лет на участке, предназначенном под ИЖС. Важно также содержать здание в надлежащем состоянии.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Закон дает три года на то, чтобы привести участок в пригодный для использования вид. Этот срок начинает исчисляться с 1 сентября 2025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года для всех действующих на этот момент собственников земельных участков. Если право возникает после 1 сентября 2025 года, то три года начинают исчисляться с момента возникновения права собственности. Первые проверки начнутся не ранее сентября 2028 года.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Что же делать если у владельца нет сил и возможности для об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работки участка? Есть несколько законных решений: например, сдать участок в аренду или передать его третьим лицам по договору безвозмездного пользования; продать или подарить; воспользоваться услугами других лиц, которые будут наводить порядок на участке.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0"/>
        <w:contextualSpacing/>
        <w:ind w:left="0" w:right="0" w:firstLine="709"/>
        <w:jc w:val="both"/>
        <w:spacing w:line="240" w:lineRule="auto"/>
        <w:rPr>
          <w:rFonts w:ascii="Segoe UI" w:hAnsi="Segoe UI" w:eastAsia="Quattrocento Sans" w:cs="Segoe UI"/>
          <w:b/>
          <w:bCs/>
          <w:i/>
          <w:color w:val="000000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Признаки неиспольз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ования земельных участков определены прежде всего в рамках мер по защите добросовестных собственников участков, по соседству с которыми оказываются заросшие участки с заброшенными строениями и стихийными свалками, создающими в том числе угрозу жизни людей.</w:t>
      </w:r>
      <w:r>
        <w:rPr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bCs/>
          <w:i/>
          <w:color w:val="000000"/>
          <w:sz w:val="24"/>
          <w:szCs w:val="24"/>
        </w:rPr>
      </w:r>
    </w:p>
    <w:p>
      <w:pPr>
        <w:contextualSpacing/>
        <w:ind w:left="0" w:right="0" w:firstLine="709"/>
        <w:jc w:val="right"/>
        <w:spacing w:line="240" w:lineRule="auto"/>
        <w:rPr>
          <w:rFonts w:ascii="PT Astra Serif" w:hAnsi="PT Astra Serif" w:cs="PT Astra Serif"/>
          <w:b/>
          <w:bCs/>
          <w:i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м</w:t>
      </w: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ате</w:t>
      </w: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риал подготовлен </w:t>
      </w: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Управлением Росреестра</w:t>
      </w: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b/>
          <w:bCs/>
          <w:i/>
          <w:color w:val="000000"/>
          <w:sz w:val="22"/>
          <w:szCs w:val="22"/>
        </w:rPr>
      </w:r>
    </w:p>
    <w:p>
      <w:pPr>
        <w:pStyle w:val="830"/>
        <w:contextualSpacing/>
        <w:jc w:val="right"/>
        <w:spacing w:line="240" w:lineRule="auto"/>
        <w:rPr>
          <w:rFonts w:ascii="PT Astra Serif" w:hAnsi="PT Astra Serif" w:cs="PT Astra Serif"/>
          <w:b/>
          <w:i/>
          <w:color w:val="000000"/>
        </w:rPr>
        <w:suppressLineNumbers w:val="0"/>
      </w:pP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по Новосибирской о</w:t>
      </w: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бласти</w:t>
      </w: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i/>
          <w:color w:val="000000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PT Astra Serif" w:hAnsi="PT Astra Serif" w:cs="PT Astra Serif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/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modified xsi:type="dcterms:W3CDTF">2026-06-05T02:37:37Z</dcterms:modified>
</cp:coreProperties>
</file>