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5453150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8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center"/>
        <w:rPr>
          <w:b/>
          <w:bCs/>
          <w:color w:val="5b9bd5"/>
          <w:sz w:val="28"/>
          <w:szCs w:val="28"/>
          <w:highlight w:val="none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</w:t>
      </w:r>
      <w:r>
        <w:rPr>
          <w:b/>
          <w:bCs/>
          <w:color w:val="5b9bd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b/>
          <w:bCs/>
          <w:color w:val="5b9bd5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Как не купить «воздух» вместо квартиры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Покупка квартиры по переуступке прав может быть выгодной, но риск мошенничества здесь высок. Главная опасность — вам могут продать право, которое уже перепродали другому или которого не существует. 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Как же убедиться, что вы покупаете реальное право на квартиру, </w:t>
        <w:br/>
        <w:t xml:space="preserve">а не «воздух»? 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Рассказываем по шагам о том, ч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то важно проверить перед сделкой: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1. Убедитесь, что первый договор участия в долевом строительстве (ДДУ) зарегистрирован в Росреестре, для этого з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апросите у прежнего дольщика актуальную выписку из Единого государственного реестра недвижимости (ЕГРН), в которой он должен быть указан как сторона договора.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ind w:firstLine="708"/>
        <w:jc w:val="both"/>
        <w:spacing w:after="0" w:line="240" w:lineRule="auto"/>
        <w:rPr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Получите справку от застройщика об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 оплате цены договора </w:t>
        <w:br/>
        <w:t xml:space="preserve">или выписку  из уполномоченного банка о поступлении денежных средств </w:t>
        <w:br/>
        <w:t xml:space="preserve">на счет эскроу. </w:t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Удостоверьтесь, что прежний дольщик не является банкротом – воспользуйтесь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 Единым федеральным реестром сведений о банкротстве 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14:ligatures w14:val="none"/>
        </w:rPr>
        <w:t xml:space="preserve">https://bankrot.fedresurs.ru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Проверьте новостройку в реестре проблемных объектов на сайте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Единой информационной системы жилищного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14:ligatures w14:val="none"/>
        </w:rPr>
        <w:t xml:space="preserve">https://наш.дом.рф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14:ligatures w14:val="none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5.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 Зарегистрируйте подписанное сторонами соглашение об уступке прав требования по ДДУ в Росреестре. Для этого вместе с текущим правообладателем подайте заявления в удобном формате: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- в электронном виде;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- лично обратившись в офис МФЦ, если одна из сторон сделки физическое лицо.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Только после государственной регистрации соглашения об уступке прав требования по ДДУ в Росреестре Вы становитесь законным новым дольщиком.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В подтверждение этому Вы получите выписку из ЕГРН </w:t>
        <w:br/>
        <w:t xml:space="preserve">о зарегистрированных ДДУ, в сведениях которой Вы будете указаны </w:t>
        <w:br/>
        <w:t xml:space="preserve">в качестве участника в долевом строительстве.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Эти рекомендации помогут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обезопасить себя от потери денег и проблем </w:t>
        <w:br/>
        <w:t xml:space="preserve">с документами и стать полноправным собственником квартиры.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</w:pP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</w:rPr>
      </w:r>
    </w:p>
    <w:p>
      <w:pPr>
        <w:pStyle w:val="832"/>
        <w:contextualSpacing/>
        <w:jc w:val="right"/>
        <w:spacing w:line="240" w:lineRule="auto"/>
        <w:rPr>
          <w:rFonts w:ascii="Segoe UI" w:hAnsi="Segoe UI" w:eastAsia="Quattrocento Sans" w:cs="Segoe UI"/>
          <w:b/>
          <w:i/>
          <w:color w:val="000000"/>
        </w:rPr>
        <w:suppressLineNumbers w:val="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</w:t>
      </w:r>
      <w:r>
        <w:rPr>
          <w:rFonts w:ascii="Segoe UI" w:hAnsi="Segoe UI" w:eastAsia="Quattrocento Sans" w:cs="Segoe UI"/>
          <w:b/>
          <w:i/>
          <w:color w:val="000000"/>
        </w:rPr>
        <w:t xml:space="preserve">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32"/>
        <w:contextualSpacing/>
        <w:jc w:val="right"/>
        <w:spacing w:line="240" w:lineRule="auto"/>
        <w:rPr>
          <w:rFonts w:ascii="Segoe UI" w:hAnsi="Segoe UI" w:eastAsia="Quattrocento Sans" w:cs="Segoe UI"/>
          <w:b/>
          <w:i/>
          <w:color w:val="000000"/>
        </w:rPr>
        <w:suppressLineNumbers w:val="0"/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</w:t>
      </w:r>
      <w:r>
        <w:rPr>
          <w:rFonts w:ascii="Segoe UI" w:hAnsi="Segoe UI" w:eastAsia="Quattrocento Sans" w:cs="Segoe UI"/>
          <w:b/>
          <w:i/>
          <w:color w:val="000000"/>
        </w:rPr>
        <w:t xml:space="preserve">ибирской области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  <w:style w:type="character" w:styleId="838" w:customStyle="1">
    <w:name w:val="Гиперссылка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shaa</dc:creator>
  <cp:keywords/>
  <dc:description/>
  <cp:lastModifiedBy>user</cp:lastModifiedBy>
  <cp:revision>17</cp:revision>
  <dcterms:created xsi:type="dcterms:W3CDTF">2025-04-18T06:23:00Z</dcterms:created>
  <dcterms:modified xsi:type="dcterms:W3CDTF">2026-02-20T07:10:44Z</dcterms:modified>
</cp:coreProperties>
</file>