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60"/>
        <w:rPr>
          <w:b/>
          <w:sz w:val="28"/>
          <w:szCs w:val="28"/>
        </w:rPr>
      </w:pPr>
      <w:r>
        <w:rPr>
          <w:rFonts w:cs="Calibri"/>
          <w:lang w:eastAsia="ru-RU"/>
        </w:rPr>
        <mc:AlternateContent>
          <mc:Choice Requires="wpg">
            <w:drawing>
              <wp:inline xmlns:wp="http://schemas.openxmlformats.org/drawingml/2006/wordprocessingDrawing" distT="0" distB="0" distL="0" distR="0">
                <wp:extent cx="2221855" cy="899992"/>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75174" name="Picture 2" descr="C:\Users\fsv\Desktop\ССЫЛКИ и ПАПКИ\Упрощенный логотип Росреестра (новый 2025г)\Logo horizontal\Logo black horizontal.jpg"/>
                        <pic:cNvPicPr>
                          <a:picLocks noChangeAspect="1"/>
                        </pic:cNvPicPr>
                        <pic:nvPr/>
                      </pic:nvPicPr>
                      <pic:blipFill>
                        <a:blip r:embed="rId10"/>
                        <a:stretch/>
                      </pic:blipFill>
                      <pic:spPr bwMode="auto">
                        <a:xfrm rot="0" flipH="0" flipV="0">
                          <a:off x="0" y="0"/>
                          <a:ext cx="2221853" cy="89999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74.95pt;height:70.87pt;mso-wrap-distance-left:0.00pt;mso-wrap-distance-top:0.00pt;mso-wrap-distance-right:0.00pt;mso-wrap-distance-bottom:0.00pt;rotation:0;" stroked="f">
                <v:path textboxrect="0,0,0,0"/>
                <v:imagedata r:id="rId10" o:title=""/>
              </v:shape>
            </w:pict>
          </mc:Fallback>
        </mc:AlternateContent>
      </w:r>
      <w:r>
        <w:rPr>
          <w:b/>
          <w:sz w:val="28"/>
          <w:szCs w:val="28"/>
        </w:rPr>
      </w:r>
      <w:r>
        <w:rPr>
          <w:b/>
          <w:sz w:val="28"/>
          <w:szCs w:val="28"/>
        </w:rPr>
      </w:r>
    </w:p>
    <w:p>
      <w:pPr>
        <w:pStyle w:val="860"/>
        <w:rPr>
          <w:b/>
          <w:sz w:val="28"/>
          <w:szCs w:val="28"/>
        </w:rPr>
      </w:pPr>
      <w:r>
        <w:rPr>
          <w:b/>
          <w:sz w:val="28"/>
          <w:szCs w:val="28"/>
        </w:rPr>
      </w:r>
      <w:r>
        <w:rPr>
          <w:b/>
          <w:sz w:val="28"/>
          <w:szCs w:val="28"/>
        </w:rPr>
      </w:r>
      <w:r>
        <w:rPr>
          <w:b/>
          <w:sz w:val="28"/>
          <w:szCs w:val="28"/>
        </w:rPr>
      </w:r>
    </w:p>
    <w:p>
      <w:pPr>
        <w:pStyle w:val="860"/>
        <w:jc w:val="center"/>
        <w:rPr>
          <w:b/>
          <w:color w:val="5b9bd5"/>
          <w:sz w:val="28"/>
          <w:szCs w:val="28"/>
        </w:rPr>
      </w:pPr>
      <w:r>
        <w:rPr>
          <w:b/>
          <w:color w:val="5b9bd5"/>
          <w:sz w:val="28"/>
          <w:szCs w:val="28"/>
        </w:rPr>
        <w:t xml:space="preserve">                                                                               РОСРЕЕСТР РАЗЪЯСНЯЕТ</w:t>
      </w:r>
      <w:r>
        <w:rPr>
          <w:b/>
          <w:color w:val="5b9bd5"/>
          <w:sz w:val="28"/>
          <w:szCs w:val="28"/>
        </w:rPr>
      </w:r>
      <w:r>
        <w:rPr>
          <w:b/>
          <w:color w:val="5b9bd5"/>
          <w:sz w:val="28"/>
          <w:szCs w:val="28"/>
        </w:rPr>
      </w:r>
    </w:p>
    <w:p>
      <w:pPr>
        <w:pStyle w:val="860"/>
        <w:ind w:firstLine="709"/>
        <w:jc w:val="both"/>
        <w:rPr>
          <w:sz w:val="28"/>
          <w:szCs w:val="28"/>
        </w:rPr>
      </w:pPr>
      <w:r>
        <w:rPr>
          <w:sz w:val="28"/>
          <w:szCs w:val="28"/>
        </w:rPr>
      </w:r>
      <w:r>
        <w:rPr>
          <w:sz w:val="28"/>
          <w:szCs w:val="28"/>
        </w:rPr>
      </w:r>
    </w:p>
    <w:p>
      <w:pPr>
        <w:pStyle w:val="860"/>
        <w:ind w:firstLine="709"/>
        <w:jc w:val="center"/>
        <w:shd w:val="clear" w:color="auto" w:fill="ffffff"/>
        <w:rPr>
          <w:color w:val="000000"/>
          <w:sz w:val="28"/>
          <w:szCs w:val="28"/>
        </w:rPr>
      </w:pPr>
      <w:r>
        <w:rPr>
          <w:color w:val="000000"/>
          <w:sz w:val="28"/>
          <w:szCs w:val="28"/>
        </w:rPr>
      </w:r>
      <w:r>
        <w:rPr>
          <w:color w:val="000000"/>
          <w:sz w:val="28"/>
          <w:szCs w:val="28"/>
        </w:rPr>
      </w:r>
      <w:r>
        <w:rPr>
          <w:color w:val="000000"/>
          <w:sz w:val="28"/>
          <w:szCs w:val="28"/>
        </w:rPr>
      </w:r>
    </w:p>
    <w:p>
      <w:pPr>
        <w:pStyle w:val="860"/>
        <w:ind w:firstLine="709"/>
        <w:jc w:val="center"/>
        <w:shd w:val="clear" w:color="auto" w:fill="ffffff"/>
        <w:rPr>
          <w:color w:val="000000"/>
          <w:sz w:val="28"/>
          <w:szCs w:val="28"/>
        </w:rPr>
      </w:pPr>
      <w:r>
        <w:rPr>
          <w:color w:val="000000"/>
          <w:sz w:val="28"/>
          <w:szCs w:val="28"/>
        </w:rPr>
      </w:r>
      <w:r>
        <w:rPr>
          <w:color w:val="000000"/>
          <w:sz w:val="28"/>
          <w:szCs w:val="28"/>
        </w:rPr>
      </w:r>
      <w:r>
        <w:rPr>
          <w:color w:val="000000"/>
          <w:sz w:val="28"/>
          <w:szCs w:val="28"/>
        </w:rPr>
      </w:r>
    </w:p>
    <w:p>
      <w:pPr>
        <w:pStyle w:val="860"/>
        <w:ind w:firstLine="709"/>
        <w:jc w:val="center"/>
        <w:shd w:val="clear" w:color="auto" w:fill="ffffff"/>
        <w:rPr>
          <w:b/>
          <w:sz w:val="28"/>
          <w:szCs w:val="28"/>
        </w:rPr>
      </w:pPr>
      <w:r>
        <w:rPr>
          <w:b/>
          <w:sz w:val="28"/>
          <w:szCs w:val="28"/>
        </w:rPr>
        <w:t xml:space="preserve">В</w:t>
      </w:r>
      <w:r>
        <w:rPr>
          <w:b/>
          <w:sz w:val="28"/>
          <w:szCs w:val="28"/>
        </w:rPr>
        <w:t xml:space="preserve"> Новосибирской области</w:t>
      </w:r>
      <w:r>
        <w:rPr>
          <w:b/>
          <w:sz w:val="28"/>
          <w:szCs w:val="28"/>
        </w:rPr>
        <w:t xml:space="preserve"> </w:t>
      </w:r>
      <w:r>
        <w:rPr>
          <w:b/>
          <w:sz w:val="28"/>
          <w:szCs w:val="28"/>
        </w:rPr>
        <w:t xml:space="preserve">проходит кадастровая оценка земель</w:t>
      </w:r>
      <w:r>
        <w:rPr>
          <w:b/>
          <w:sz w:val="28"/>
          <w:szCs w:val="28"/>
        </w:rPr>
      </w:r>
      <w:r>
        <w:rPr>
          <w:b/>
          <w:sz w:val="28"/>
          <w:szCs w:val="28"/>
        </w:rPr>
      </w:r>
    </w:p>
    <w:p>
      <w:pPr>
        <w:pStyle w:val="860"/>
        <w:jc w:val="center"/>
        <w:shd w:val="clear" w:color="auto" w:fill="ffffff"/>
        <w:rPr>
          <w:sz w:val="28"/>
          <w:szCs w:val="28"/>
        </w:rPr>
      </w:pPr>
      <w:r>
        <w:rPr>
          <w:sz w:val="28"/>
          <w:szCs w:val="28"/>
        </w:rPr>
      </w:r>
      <w:r>
        <w:rPr>
          <w:sz w:val="28"/>
          <w:szCs w:val="28"/>
        </w:rPr>
      </w:r>
      <w:r>
        <w:rPr>
          <w:sz w:val="28"/>
          <w:szCs w:val="28"/>
        </w:rPr>
      </w:r>
    </w:p>
    <w:p>
      <w:pPr>
        <w:pStyle w:val="860"/>
        <w:ind w:firstLine="709"/>
        <w:jc w:val="both"/>
        <w:rPr>
          <w:sz w:val="28"/>
          <w:szCs w:val="28"/>
        </w:rPr>
      </w:pPr>
      <w:r>
        <w:rPr>
          <w:sz w:val="28"/>
          <w:szCs w:val="28"/>
        </w:rPr>
        <w:t xml:space="preserve">В 2026 году в Новосибирской области проходит очередная государственная кадастровая оценка земельных участков.</w:t>
      </w:r>
      <w:r>
        <w:rPr>
          <w:sz w:val="28"/>
          <w:szCs w:val="28"/>
        </w:rPr>
        <w:t xml:space="preserve"> Переоценку пройдут </w:t>
      </w:r>
      <w:r>
        <w:rPr>
          <w:sz w:val="28"/>
          <w:szCs w:val="28"/>
        </w:rPr>
        <w:t xml:space="preserve">более 1 млн. </w:t>
      </w:r>
      <w:r>
        <w:rPr>
          <w:sz w:val="28"/>
          <w:szCs w:val="28"/>
        </w:rPr>
        <w:t xml:space="preserve">земельных участ</w:t>
      </w:r>
      <w:r>
        <w:rPr>
          <w:sz w:val="28"/>
          <w:szCs w:val="28"/>
        </w:rPr>
        <w:t xml:space="preserve">ков всех категорий, учтенных в Едином государственном реестре недвижимости – от жилых, садовых, сельскохозяйственных до коммерческих, промышленных и природных.</w:t>
      </w:r>
      <w:r>
        <w:rPr>
          <w:sz w:val="28"/>
          <w:szCs w:val="28"/>
        </w:rPr>
      </w:r>
      <w:r>
        <w:rPr>
          <w:sz w:val="28"/>
          <w:szCs w:val="28"/>
        </w:rPr>
      </w:r>
    </w:p>
    <w:p>
      <w:pPr>
        <w:pStyle w:val="860"/>
        <w:ind w:firstLine="709"/>
        <w:jc w:val="both"/>
        <w:rPr>
          <w:sz w:val="28"/>
          <w:szCs w:val="28"/>
        </w:rPr>
      </w:pPr>
      <w:r>
        <w:rPr>
          <w:sz w:val="28"/>
          <w:szCs w:val="28"/>
        </w:rPr>
        <w:t xml:space="preserve">Работы по государственной кадастровой оценке земель </w:t>
      </w:r>
      <w:r>
        <w:rPr>
          <w:sz w:val="28"/>
          <w:szCs w:val="28"/>
        </w:rPr>
        <w:t xml:space="preserve">и расчету кадастровой стоимости</w:t>
      </w:r>
      <w:r>
        <w:rPr>
          <w:sz w:val="28"/>
          <w:szCs w:val="28"/>
        </w:rPr>
        <w:t xml:space="preserve"> выполня</w:t>
      </w:r>
      <w:r>
        <w:rPr>
          <w:sz w:val="28"/>
          <w:szCs w:val="28"/>
        </w:rPr>
        <w:t xml:space="preserve">е</w:t>
      </w:r>
      <w:r>
        <w:rPr>
          <w:sz w:val="28"/>
          <w:szCs w:val="28"/>
        </w:rPr>
        <w:t xml:space="preserve">т государственное бюджетное учреждение Новосибирской области «Новосибирский центр кадастровой оценки и инвентаризации».</w:t>
      </w:r>
      <w:r>
        <w:rPr>
          <w:sz w:val="28"/>
          <w:szCs w:val="28"/>
        </w:rPr>
      </w:r>
      <w:r>
        <w:rPr>
          <w:sz w:val="28"/>
          <w:szCs w:val="28"/>
        </w:rPr>
      </w:r>
    </w:p>
    <w:p>
      <w:pPr>
        <w:pStyle w:val="860"/>
        <w:ind w:firstLine="709"/>
        <w:jc w:val="both"/>
        <w:rPr>
          <w:sz w:val="28"/>
          <w:szCs w:val="28"/>
        </w:rPr>
      </w:pPr>
      <w:r>
        <w:rPr>
          <w:sz w:val="28"/>
          <w:szCs w:val="28"/>
        </w:rPr>
        <w:t xml:space="preserve">От </w:t>
      </w:r>
      <w:r>
        <w:rPr>
          <w:sz w:val="28"/>
          <w:szCs w:val="28"/>
        </w:rPr>
        <w:t xml:space="preserve">величины</w:t>
      </w:r>
      <w:r>
        <w:rPr>
          <w:sz w:val="28"/>
          <w:szCs w:val="28"/>
        </w:rPr>
        <w:t xml:space="preserve"> кадастровой стоимости</w:t>
      </w:r>
      <w:r>
        <w:rPr>
          <w:sz w:val="28"/>
          <w:szCs w:val="28"/>
        </w:rPr>
        <w:t xml:space="preserve"> </w:t>
      </w:r>
      <w:r>
        <w:rPr>
          <w:sz w:val="28"/>
          <w:szCs w:val="28"/>
        </w:rPr>
        <w:t xml:space="preserve">участ</w:t>
      </w:r>
      <w:r>
        <w:rPr>
          <w:sz w:val="28"/>
          <w:szCs w:val="28"/>
        </w:rPr>
        <w:t xml:space="preserve">ков</w:t>
      </w:r>
      <w:r>
        <w:rPr>
          <w:sz w:val="28"/>
          <w:szCs w:val="28"/>
        </w:rPr>
        <w:t xml:space="preserve"> зависит размер земельного налога. Она используется </w:t>
      </w:r>
      <w:r>
        <w:rPr>
          <w:sz w:val="28"/>
          <w:szCs w:val="28"/>
        </w:rPr>
        <w:t xml:space="preserve">при</w:t>
      </w:r>
      <w:r>
        <w:rPr>
          <w:sz w:val="28"/>
          <w:szCs w:val="28"/>
        </w:rPr>
        <w:t xml:space="preserve"> расчет</w:t>
      </w:r>
      <w:r>
        <w:rPr>
          <w:sz w:val="28"/>
          <w:szCs w:val="28"/>
        </w:rPr>
        <w:t xml:space="preserve">е</w:t>
      </w:r>
      <w:r>
        <w:rPr>
          <w:sz w:val="28"/>
          <w:szCs w:val="28"/>
        </w:rPr>
        <w:t xml:space="preserve"> госпошлины при </w:t>
      </w:r>
      <w:r>
        <w:rPr>
          <w:sz w:val="28"/>
          <w:szCs w:val="28"/>
        </w:rPr>
        <w:t xml:space="preserve">нотариаль</w:t>
      </w:r>
      <w:r>
        <w:rPr>
          <w:sz w:val="28"/>
          <w:szCs w:val="28"/>
        </w:rPr>
        <w:t xml:space="preserve">ном удостоверении сделок с недвижимостью,</w:t>
      </w:r>
      <w:r>
        <w:rPr>
          <w:sz w:val="28"/>
          <w:szCs w:val="28"/>
        </w:rPr>
        <w:t xml:space="preserve"> арендной платы за использование земельных участков, находящихся в государственной или муниципальной собственности, компенсации при изъятии недвижимости для государственных нужд, при расчете </w:t>
      </w:r>
      <w:r>
        <w:rPr>
          <w:sz w:val="28"/>
          <w:szCs w:val="28"/>
        </w:rPr>
        <w:t xml:space="preserve">их </w:t>
      </w:r>
      <w:r>
        <w:rPr>
          <w:sz w:val="28"/>
          <w:szCs w:val="28"/>
        </w:rPr>
        <w:t xml:space="preserve">выкупной цены у государства.</w:t>
      </w:r>
      <w:r>
        <w:rPr>
          <w:sz w:val="28"/>
          <w:szCs w:val="28"/>
        </w:rPr>
      </w:r>
      <w:r>
        <w:rPr>
          <w:sz w:val="28"/>
          <w:szCs w:val="28"/>
        </w:rPr>
      </w:r>
    </w:p>
    <w:p>
      <w:pPr>
        <w:pStyle w:val="860"/>
        <w:ind w:firstLine="709"/>
        <w:jc w:val="both"/>
        <w:rPr>
          <w:sz w:val="28"/>
          <w:szCs w:val="28"/>
        </w:rPr>
      </w:pPr>
      <w:r>
        <w:rPr>
          <w:sz w:val="28"/>
          <w:szCs w:val="28"/>
        </w:rPr>
        <w:t xml:space="preserve">Сегодня к</w:t>
      </w:r>
      <w:r>
        <w:rPr>
          <w:sz w:val="28"/>
          <w:szCs w:val="28"/>
        </w:rPr>
        <w:t xml:space="preserve">адастровая стоимость всей недвижимости </w:t>
      </w:r>
      <w:r>
        <w:rPr>
          <w:sz w:val="28"/>
          <w:szCs w:val="28"/>
        </w:rPr>
        <w:t xml:space="preserve">Новосибирской области</w:t>
      </w:r>
      <w:r>
        <w:rPr>
          <w:sz w:val="28"/>
          <w:szCs w:val="28"/>
        </w:rPr>
        <w:t xml:space="preserve"> составляет 13,</w:t>
      </w:r>
      <w:r>
        <w:rPr>
          <w:sz w:val="28"/>
          <w:szCs w:val="28"/>
        </w:rPr>
        <w:t xml:space="preserve">5</w:t>
      </w:r>
      <w:r>
        <w:rPr>
          <w:sz w:val="28"/>
          <w:szCs w:val="28"/>
        </w:rPr>
        <w:t xml:space="preserve"> триллион</w:t>
      </w:r>
      <w:r>
        <w:rPr>
          <w:sz w:val="28"/>
          <w:szCs w:val="28"/>
        </w:rPr>
        <w:t xml:space="preserve">ов</w:t>
      </w:r>
      <w:r>
        <w:rPr>
          <w:sz w:val="28"/>
          <w:szCs w:val="28"/>
        </w:rPr>
        <w:t xml:space="preserve"> рублей.</w:t>
      </w:r>
      <w:r>
        <w:rPr>
          <w:sz w:val="28"/>
          <w:szCs w:val="28"/>
        </w:rPr>
      </w:r>
      <w:r>
        <w:rPr>
          <w:sz w:val="28"/>
          <w:szCs w:val="28"/>
        </w:rPr>
      </w:r>
    </w:p>
    <w:p>
      <w:pPr>
        <w:pStyle w:val="860"/>
        <w:ind w:firstLine="709"/>
        <w:jc w:val="both"/>
        <w:rPr>
          <w:sz w:val="28"/>
          <w:szCs w:val="28"/>
        </w:rPr>
      </w:pPr>
      <w:r>
        <w:rPr>
          <w:sz w:val="28"/>
          <w:szCs w:val="28"/>
        </w:rPr>
        <w:t xml:space="preserve">Из этой стоимости 2/3 приходится на н</w:t>
      </w:r>
      <w:r>
        <w:rPr>
          <w:sz w:val="28"/>
          <w:szCs w:val="28"/>
        </w:rPr>
        <w:t xml:space="preserve">едвижимость Новосибирска</w:t>
      </w:r>
      <w:r>
        <w:rPr>
          <w:sz w:val="28"/>
          <w:szCs w:val="28"/>
        </w:rPr>
        <w:t xml:space="preserve"> - </w:t>
      </w:r>
      <w:r>
        <w:rPr>
          <w:sz w:val="28"/>
          <w:szCs w:val="28"/>
        </w:rPr>
        <w:t xml:space="preserve">8,9</w:t>
      </w:r>
      <w:r>
        <w:rPr>
          <w:sz w:val="28"/>
          <w:szCs w:val="28"/>
        </w:rPr>
        <w:t xml:space="preserve">5</w:t>
      </w:r>
      <w:r>
        <w:rPr>
          <w:sz w:val="28"/>
          <w:szCs w:val="28"/>
        </w:rPr>
        <w:t xml:space="preserve"> триллион</w:t>
      </w:r>
      <w:r>
        <w:rPr>
          <w:sz w:val="28"/>
          <w:szCs w:val="28"/>
        </w:rPr>
        <w:t xml:space="preserve">ов</w:t>
      </w:r>
      <w:r>
        <w:rPr>
          <w:sz w:val="28"/>
          <w:szCs w:val="28"/>
        </w:rPr>
        <w:t xml:space="preserve"> </w:t>
      </w:r>
      <w:r>
        <w:rPr>
          <w:sz w:val="28"/>
          <w:szCs w:val="28"/>
        </w:rPr>
        <w:t xml:space="preserve">рублей</w:t>
      </w:r>
      <w:r>
        <w:rPr>
          <w:sz w:val="28"/>
          <w:szCs w:val="28"/>
        </w:rPr>
        <w:t xml:space="preserve"> (66%).</w:t>
      </w:r>
      <w:r>
        <w:rPr>
          <w:sz w:val="28"/>
          <w:szCs w:val="28"/>
        </w:rPr>
      </w:r>
      <w:r>
        <w:rPr>
          <w:sz w:val="28"/>
          <w:szCs w:val="28"/>
        </w:rPr>
      </w:r>
    </w:p>
    <w:p>
      <w:pPr>
        <w:pStyle w:val="860"/>
        <w:ind w:firstLine="709"/>
        <w:jc w:val="both"/>
        <w:rPr>
          <w:sz w:val="28"/>
          <w:szCs w:val="28"/>
        </w:rPr>
      </w:pPr>
      <w:r>
        <w:rPr>
          <w:sz w:val="28"/>
          <w:szCs w:val="28"/>
        </w:rPr>
        <w:t xml:space="preserve">Земля областного центра «стоит» </w:t>
      </w:r>
      <w:r>
        <w:rPr>
          <w:sz w:val="28"/>
          <w:szCs w:val="28"/>
        </w:rPr>
        <w:t xml:space="preserve">446,8 млрд. рублей, это 1/3</w:t>
      </w:r>
      <w:r>
        <w:rPr>
          <w:sz w:val="28"/>
          <w:szCs w:val="28"/>
        </w:rPr>
        <w:t xml:space="preserve"> </w:t>
      </w:r>
      <w:r>
        <w:rPr>
          <w:sz w:val="28"/>
          <w:szCs w:val="28"/>
        </w:rPr>
        <w:t xml:space="preserve">кадастровой стоимости всех земельных участков</w:t>
      </w:r>
      <w:r>
        <w:rPr>
          <w:sz w:val="28"/>
          <w:szCs w:val="28"/>
        </w:rPr>
        <w:t xml:space="preserve"> региона.</w:t>
      </w:r>
      <w:r>
        <w:rPr>
          <w:sz w:val="28"/>
          <w:szCs w:val="28"/>
        </w:rPr>
      </w:r>
      <w:r>
        <w:rPr>
          <w:sz w:val="28"/>
          <w:szCs w:val="28"/>
        </w:rPr>
      </w:r>
    </w:p>
    <w:p>
      <w:pPr>
        <w:pStyle w:val="860"/>
        <w:ind w:firstLine="709"/>
        <w:jc w:val="both"/>
        <w:rPr>
          <w:sz w:val="28"/>
          <w:szCs w:val="28"/>
        </w:rPr>
      </w:pPr>
      <w:r>
        <w:rPr>
          <w:sz w:val="28"/>
          <w:szCs w:val="28"/>
        </w:rPr>
        <w:t xml:space="preserve">Напомним, что предыдущая кадастровая оценка земельных участков проводилась в 2022 году.</w:t>
      </w:r>
      <w:r>
        <w:rPr>
          <w:sz w:val="28"/>
          <w:szCs w:val="28"/>
        </w:rPr>
      </w:r>
      <w:r>
        <w:rPr>
          <w:sz w:val="28"/>
          <w:szCs w:val="28"/>
        </w:rPr>
      </w:r>
    </w:p>
    <w:p>
      <w:pPr>
        <w:pStyle w:val="860"/>
        <w:ind w:firstLine="709"/>
        <w:jc w:val="both"/>
        <w:rPr>
          <w:sz w:val="28"/>
          <w:szCs w:val="28"/>
        </w:rPr>
      </w:pPr>
      <w:r>
        <w:rPr>
          <w:sz w:val="28"/>
          <w:szCs w:val="28"/>
        </w:rPr>
      </w:r>
      <w:r>
        <w:rPr>
          <w:sz w:val="28"/>
          <w:szCs w:val="28"/>
        </w:rPr>
      </w:r>
      <w:r>
        <w:rPr>
          <w:sz w:val="28"/>
          <w:szCs w:val="28"/>
        </w:rPr>
      </w:r>
    </w:p>
    <w:p>
      <w:pPr>
        <w:pStyle w:val="860"/>
        <w:ind w:firstLine="709"/>
        <w:jc w:val="both"/>
        <w:rPr>
          <w:sz w:val="28"/>
          <w:szCs w:val="28"/>
          <w:shd w:val="clear" w:color="auto" w:fill="ffffff"/>
          <w:lang w:eastAsia="en-US"/>
        </w:rPr>
      </w:pPr>
      <w:r>
        <w:rPr>
          <w:sz w:val="28"/>
          <w:szCs w:val="28"/>
          <w:shd w:val="clear" w:color="auto" w:fill="ffffff"/>
          <w:lang w:eastAsia="en-US"/>
        </w:rPr>
      </w:r>
      <w:r>
        <w:rPr>
          <w:sz w:val="28"/>
          <w:szCs w:val="28"/>
          <w:shd w:val="clear" w:color="auto" w:fill="ffffff"/>
          <w:lang w:eastAsia="en-US"/>
        </w:rPr>
      </w:r>
      <w:r>
        <w:rPr>
          <w:sz w:val="28"/>
          <w:szCs w:val="28"/>
          <w:shd w:val="clear" w:color="auto" w:fill="ffffff"/>
          <w:lang w:eastAsia="en-US"/>
        </w:rPr>
      </w:r>
    </w:p>
    <w:p>
      <w:pPr>
        <w:pStyle w:val="860"/>
        <w:ind w:firstLine="709"/>
        <w:jc w:val="both"/>
        <w:rPr>
          <w:sz w:val="28"/>
          <w:szCs w:val="28"/>
          <w:shd w:val="clear" w:color="auto" w:fill="ffffff"/>
          <w:lang w:eastAsia="en-US"/>
        </w:rPr>
      </w:pPr>
      <w:r>
        <w:rPr>
          <w:sz w:val="28"/>
          <w:szCs w:val="28"/>
          <w:shd w:val="clear" w:color="auto" w:fill="ffffff"/>
          <w:lang w:eastAsia="en-US"/>
        </w:rPr>
      </w:r>
      <w:r>
        <w:rPr>
          <w:sz w:val="28"/>
          <w:szCs w:val="28"/>
          <w:shd w:val="clear" w:color="auto" w:fill="ffffff"/>
          <w:lang w:eastAsia="en-US"/>
        </w:rPr>
      </w:r>
      <w:r>
        <w:rPr>
          <w:sz w:val="28"/>
          <w:szCs w:val="28"/>
          <w:shd w:val="clear" w:color="auto" w:fill="ffffff"/>
          <w:lang w:eastAsia="en-US"/>
        </w:rPr>
      </w:r>
    </w:p>
    <w:p>
      <w:pPr>
        <w:pStyle w:val="860"/>
        <w:jc w:val="right"/>
        <w:rPr>
          <w:rFonts w:ascii="Segoe UI" w:hAnsi="Segoe UI" w:eastAsia="Quattrocento Sans" w:cs="Segoe UI"/>
          <w:b/>
          <w:i/>
          <w:color w:val="000000"/>
        </w:rPr>
      </w:pPr>
      <w:r>
        <w:rPr>
          <w:sz w:val="28"/>
          <w:szCs w:val="28"/>
        </w:rPr>
        <w:t xml:space="preserve"> </w:t>
      </w:r>
      <w:r>
        <w:rPr>
          <w:rFonts w:ascii="Segoe UI" w:hAnsi="Segoe UI" w:eastAsia="Quattrocento Sans" w:cs="Segoe UI"/>
          <w:b/>
          <w:i/>
          <w:color w:val="000000"/>
        </w:rPr>
        <w:t xml:space="preserve">м</w:t>
      </w:r>
      <w:r>
        <w:rPr>
          <w:rFonts w:ascii="Segoe UI" w:hAnsi="Segoe UI" w:eastAsia="Quattrocento Sans" w:cs="Segoe UI"/>
          <w:b/>
          <w:i/>
          <w:color w:val="000000"/>
        </w:rPr>
        <w:t xml:space="preserve">атериал подготовлен </w:t>
      </w:r>
      <w:r>
        <w:rPr>
          <w:rFonts w:ascii="Segoe UI" w:hAnsi="Segoe UI" w:eastAsia="Quattrocento Sans" w:cs="Segoe UI"/>
          <w:b/>
          <w:i/>
          <w:color w:val="000000"/>
        </w:rPr>
        <w:t xml:space="preserve">Управлением Росреестра</w:t>
      </w:r>
      <w:r>
        <w:rPr>
          <w:rFonts w:ascii="Segoe UI" w:hAnsi="Segoe UI" w:eastAsia="Quattrocento Sans" w:cs="Segoe UI"/>
          <w:b/>
          <w:i/>
          <w:color w:val="000000"/>
        </w:rPr>
        <w:t xml:space="preserve"> </w:t>
      </w:r>
      <w:r>
        <w:rPr>
          <w:rFonts w:ascii="Segoe UI" w:hAnsi="Segoe UI" w:eastAsia="Quattrocento Sans" w:cs="Segoe UI"/>
          <w:b/>
          <w:i/>
          <w:color w:val="000000"/>
        </w:rPr>
      </w:r>
      <w:r>
        <w:rPr>
          <w:rFonts w:ascii="Segoe UI" w:hAnsi="Segoe UI" w:eastAsia="Quattrocento Sans" w:cs="Segoe UI"/>
          <w:b/>
          <w:i/>
          <w:color w:val="000000"/>
        </w:rPr>
      </w:r>
    </w:p>
    <w:p>
      <w:pPr>
        <w:pStyle w:val="860"/>
        <w:jc w:val="right"/>
        <w:rPr>
          <w:rFonts w:ascii="Segoe UI" w:hAnsi="Segoe UI" w:eastAsia="Quattrocento Sans" w:cs="Segoe UI"/>
          <w:b/>
          <w:i/>
          <w:color w:val="000000"/>
        </w:rPr>
      </w:pPr>
      <w:r>
        <w:rPr>
          <w:rFonts w:ascii="Segoe UI" w:hAnsi="Segoe UI" w:eastAsia="Quattrocento Sans" w:cs="Segoe UI"/>
          <w:b/>
          <w:i/>
          <w:color w:val="000000"/>
        </w:rPr>
        <w:t xml:space="preserve">по Новосибирской области</w:t>
      </w:r>
      <w:r>
        <w:rPr>
          <w:rFonts w:ascii="Segoe UI" w:hAnsi="Segoe UI" w:eastAsia="Quattrocento Sans" w:cs="Segoe UI"/>
          <w:b/>
          <w:i/>
          <w:color w:val="000000"/>
        </w:rPr>
        <w:t xml:space="preserve"> </w:t>
      </w:r>
      <w:r>
        <w:rPr>
          <w:rFonts w:ascii="Segoe UI" w:hAnsi="Segoe UI" w:eastAsia="Quattrocento Sans" w:cs="Segoe UI"/>
          <w:b/>
          <w:i/>
          <w:color w:val="000000"/>
        </w:rPr>
      </w:r>
      <w:r>
        <w:rPr>
          <w:rFonts w:ascii="Segoe UI" w:hAnsi="Segoe UI" w:eastAsia="Quattrocento Sans" w:cs="Segoe UI"/>
          <w:b/>
          <w:i/>
          <w:color w:val="000000"/>
        </w:rPr>
      </w:r>
    </w:p>
    <w:p>
      <w:pPr>
        <w:pStyle w:val="860"/>
        <w:jc w:val="right"/>
        <w:rPr>
          <w:rFonts w:ascii="Segoe UI" w:hAnsi="Segoe UI" w:eastAsia="Quattrocento Sans" w:cs="Segoe UI"/>
          <w:b/>
          <w:i/>
          <w:color w:val="000000"/>
        </w:rPr>
      </w:pPr>
      <w:r>
        <w:rPr>
          <w:rFonts w:ascii="Segoe UI" w:hAnsi="Segoe UI" w:eastAsia="Quattrocento Sans" w:cs="Segoe UI"/>
          <w:b/>
          <w:i/>
          <w:color w:val="000000"/>
        </w:rPr>
      </w:r>
      <w:r>
        <w:rPr>
          <w:rFonts w:ascii="Segoe UI" w:hAnsi="Segoe UI" w:eastAsia="Quattrocento Sans" w:cs="Segoe UI"/>
          <w:b/>
          <w:i/>
          <w:color w:val="000000"/>
        </w:rPr>
      </w:r>
      <w:r>
        <w:rPr>
          <w:rFonts w:ascii="Segoe UI" w:hAnsi="Segoe UI" w:eastAsia="Quattrocento Sans" w:cs="Segoe UI"/>
          <w:b/>
          <w:i/>
          <w:color w:val="000000"/>
        </w:rPr>
      </w:r>
    </w:p>
    <w:p>
      <w:pPr>
        <w:pStyle w:val="860"/>
        <w:jc w:val="right"/>
        <w:rPr>
          <w:rFonts w:ascii="Segoe UI" w:hAnsi="Segoe UI" w:cs="Segoe UI"/>
          <w:b/>
          <w:bCs/>
          <w:i/>
          <w:iCs/>
          <w:color w:val="0070c0"/>
        </w:rPr>
      </w:pPr>
      <w: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column">
                  <wp:posOffset>-41909</wp:posOffset>
                </wp:positionH>
                <wp:positionV relativeFrom="paragraph">
                  <wp:posOffset>90170</wp:posOffset>
                </wp:positionV>
                <wp:extent cx="6229350" cy="0"/>
                <wp:effectExtent l="0" t="0" r="0" b="0"/>
                <wp:wrapNone/>
                <wp:docPr id="2" name="_x0000_s1026"/>
                <wp:cNvGraphicFramePr/>
                <a:graphic xmlns:a="http://schemas.openxmlformats.org/drawingml/2006/main">
                  <a:graphicData uri="http://schemas.microsoft.com/office/word/2010/wordprocessingShape">
                    <wps:wsp>
                      <wps:cNvPr id="0" name=""/>
                      <wps:cNvSpPr/>
                      <wps:spPr bwMode="auto">
                        <a:xfrm>
                          <a:off x="0" y="0"/>
                          <a:ext cx="6229350" cy="0"/>
                        </a:xfrm>
                        <a:custGeom>
                          <a:avLst/>
                          <a:gdLst>
                            <a:gd name="gd0" fmla="val 65536"/>
                            <a:gd name="gd1" fmla="val 0"/>
                            <a:gd name="gd2" fmla="val 0"/>
                            <a:gd name="gd3" fmla="val 0"/>
                            <a:gd name="gd4" fmla="val 21600"/>
                            <a:gd name="gd5" fmla="+- gd3 21600 0"/>
                            <a:gd name="gd6" fmla="+- gd4 0 0"/>
                            <a:gd name="gd7" fmla="val 21600"/>
                            <a:gd name="gd8" fmla="val 0"/>
                          </a:gdLst>
                          <a:ahLst/>
                          <a:cxnLst/>
                          <a:rect l="0" t="0" r="r" b="b"/>
                          <a:pathLst>
                            <a:path w="21600" h="21600" fill="norm" stroke="1" extrusionOk="0">
                              <a:moveTo>
                                <a:pt x="gd1" y="gd2"/>
                              </a:moveTo>
                              <a:lnTo>
                                <a:pt x="gd3" y="gd4"/>
                              </a:lnTo>
                              <a:lnTo>
                                <a:pt x="gd5" y="gd6"/>
                              </a:lnTo>
                              <a:lnTo>
                                <a:pt x="gd7" y="gd8"/>
                              </a:lnTo>
                              <a:close/>
                            </a:path>
                          </a:pathLst>
                        </a:custGeom>
                        <a:noFill/>
                        <a:ln>
                          <a:solidFill>
                            <a:srgbClr val="0070C0"/>
                          </a:solidFill>
                        </a:ln>
                      </wps:spPr>
                      <wps:bodyPr rot="0">
                        <a:prstTxWarp prst="textNoShape">
                          <a:avLst/>
                        </a:prstTxWarp>
                        <a:noAutofit/>
                      </wps:bodyPr>
                    </wps:wsp>
                  </a:graphicData>
                </a:graphic>
              </wp:anchor>
            </w:drawing>
          </mc:Choice>
          <mc:Fallback>
            <w:pict>
              <v:shape id="shape 1" o:spid="_x0000_s1" style="position:absolute;z-index:524288;o:allowoverlap:true;o:allowincell:true;mso-position-horizontal-relative:text;margin-left:-3.30pt;mso-position-horizontal:absolute;mso-position-vertical-relative:text;margin-top:7.10pt;mso-position-vertical:absolute;width:490.50pt;height:0.00pt;mso-wrap-distance-left:9.00pt;mso-wrap-distance-top:0.00pt;mso-wrap-distance-right:9.00pt;mso-wrap-distance-bottom:0.00pt;visibility:visible;" path="m0,0l0,100000l100000,100000l100000,0xe" coordsize="100000,100000" filled="f" strokecolor="#0070C0">
                <v:path textboxrect="0,0,100000,100000"/>
              </v:shape>
            </w:pict>
          </mc:Fallback>
        </mc:AlternateContent>
      </w:r>
      <w:r>
        <w:rPr>
          <w:rFonts w:ascii="Segoe UI" w:hAnsi="Segoe UI" w:cs="Segoe UI"/>
          <w:b/>
          <w:bCs/>
          <w:i/>
          <w:iCs/>
          <w:color w:val="0070c0"/>
        </w:rPr>
      </w:r>
      <w:r>
        <w:rPr>
          <w:rFonts w:ascii="Segoe UI" w:hAnsi="Segoe UI" w:cs="Segoe UI"/>
          <w:b/>
          <w:bCs/>
          <w:i/>
          <w:iCs/>
          <w:color w:val="0070c0"/>
        </w:rPr>
      </w:r>
    </w:p>
    <w:p>
      <w:pPr>
        <w:pStyle w:val="867"/>
        <w:rPr>
          <w:bCs/>
          <w:szCs w:val="28"/>
          <w:lang w:val="ru-RU"/>
        </w:rPr>
      </w:pPr>
      <w:r>
        <w:rPr>
          <w:bCs/>
          <w:szCs w:val="28"/>
          <w:lang w:val="ru-RU"/>
        </w:rPr>
      </w:r>
      <w:r>
        <w:rPr>
          <w:bCs/>
          <w:szCs w:val="28"/>
          <w:lang w:val="ru-RU"/>
        </w:rPr>
      </w:r>
    </w:p>
    <w:sectPr>
      <w:headerReference w:type="default" r:id="rId9"/>
      <w:footnotePr/>
      <w:endnotePr/>
      <w:type w:val="nextPage"/>
      <w:pgSz w:w="11906" w:h="16838" w:orient="portrait"/>
      <w:pgMar w:top="1134" w:right="850" w:bottom="1134" w:left="1701"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Wingdings">
    <w:panose1 w:val="05010000000000000000"/>
  </w:font>
  <w:font w:name="Symbol">
    <w:panose1 w:val="05010000000000000000"/>
  </w:font>
  <w:font w:name="Times New Roman">
    <w:panose1 w:val="02020603050405020304"/>
  </w:font>
  <w:font w:name="Quattrocento Sans">
    <w:panose1 w:val="02000603000000000000"/>
  </w:font>
  <w:font w:name="Calibri">
    <w:panose1 w:val="020F0502020204030204"/>
  </w:font>
  <w:font w:name="Tahoma">
    <w:panose1 w:val="020B0604030504040204"/>
  </w:font>
  <w:font w:name="Courier New">
    <w:panose1 w:val="020704090202050204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86"/>
      <w:jc w:val="center"/>
    </w:pPr>
    <w:r>
      <w:fldChar w:fldCharType="begin"/>
    </w:r>
    <w:r>
      <w:instrText xml:space="preserve">PAGE   \* MERGEFORMAT</w:instrText>
    </w:r>
    <w:r>
      <w:fldChar w:fldCharType="separate"/>
    </w:r>
    <w:r>
      <w:t xml:space="preserve">2</w:t>
    </w:r>
    <w:r>
      <w:fldChar w:fldCharType="end"/>
    </w:r>
    <w:r/>
  </w:p>
  <w:p>
    <w:pPr>
      <w:pStyle w:val="886"/>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1">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
    <w:multiLevelType w:val="hybridMultilevel"/>
    <w:lvl w:ilvl="0">
      <w:start w:val="1"/>
      <w:numFmt w:val="bullet"/>
      <w:isLgl w:val="false"/>
      <w:suff w:val="tab"/>
      <w:lvlText w:val=""/>
      <w:lvlJc w:val="left"/>
      <w:pPr>
        <w:ind w:left="720" w:hanging="360"/>
        <w:tabs>
          <w:tab w:val="num" w:pos="720" w:leader="none"/>
        </w:tabs>
      </w:pPr>
      <w:rPr>
        <w:rFonts w:ascii="Symbol" w:hAnsi="Symbol"/>
        <w:sz w:val="20"/>
      </w:rPr>
    </w:lvl>
    <w:lvl w:ilvl="1">
      <w:start w:val="1"/>
      <w:numFmt w:val="bullet"/>
      <w:isLgl w:val="false"/>
      <w:suff w:val="tab"/>
      <w:lvlText w:val="o"/>
      <w:lvlJc w:val="left"/>
      <w:pPr>
        <w:ind w:left="1440" w:hanging="360"/>
        <w:tabs>
          <w:tab w:val="num" w:pos="1440" w:leader="none"/>
        </w:tabs>
      </w:pPr>
      <w:rPr>
        <w:rFonts w:ascii="Courier New" w:hAnsi="Courier New"/>
        <w:sz w:val="20"/>
      </w:rPr>
    </w:lvl>
    <w:lvl w:ilvl="2">
      <w:start w:val="1"/>
      <w:numFmt w:val="bullet"/>
      <w:isLgl w:val="false"/>
      <w:suff w:val="tab"/>
      <w:lvlText w:val=""/>
      <w:lvlJc w:val="left"/>
      <w:pPr>
        <w:ind w:left="2160" w:hanging="360"/>
        <w:tabs>
          <w:tab w:val="num" w:pos="2160" w:leader="none"/>
        </w:tabs>
      </w:pPr>
      <w:rPr>
        <w:rFonts w:ascii="Wingdings" w:hAnsi="Wingdings"/>
        <w:sz w:val="20"/>
      </w:rPr>
    </w:lvl>
    <w:lvl w:ilvl="3">
      <w:start w:val="1"/>
      <w:numFmt w:val="bullet"/>
      <w:isLgl w:val="false"/>
      <w:suff w:val="tab"/>
      <w:lvlText w:val=""/>
      <w:lvlJc w:val="left"/>
      <w:pPr>
        <w:ind w:left="2880" w:hanging="360"/>
        <w:tabs>
          <w:tab w:val="num" w:pos="2880" w:leader="none"/>
        </w:tabs>
      </w:pPr>
      <w:rPr>
        <w:rFonts w:ascii="Wingdings" w:hAnsi="Wingdings"/>
        <w:sz w:val="20"/>
      </w:rPr>
    </w:lvl>
    <w:lvl w:ilvl="4">
      <w:start w:val="1"/>
      <w:numFmt w:val="bullet"/>
      <w:isLgl w:val="false"/>
      <w:suff w:val="tab"/>
      <w:lvlText w:val=""/>
      <w:lvlJc w:val="left"/>
      <w:pPr>
        <w:ind w:left="3600" w:hanging="360"/>
        <w:tabs>
          <w:tab w:val="num" w:pos="3600" w:leader="none"/>
        </w:tabs>
      </w:pPr>
      <w:rPr>
        <w:rFonts w:ascii="Wingdings" w:hAnsi="Wingdings"/>
        <w:sz w:val="20"/>
      </w:rPr>
    </w:lvl>
    <w:lvl w:ilvl="5">
      <w:start w:val="1"/>
      <w:numFmt w:val="bullet"/>
      <w:isLgl w:val="false"/>
      <w:suff w:val="tab"/>
      <w:lvlText w:val=""/>
      <w:lvlJc w:val="left"/>
      <w:pPr>
        <w:ind w:left="4320" w:hanging="360"/>
        <w:tabs>
          <w:tab w:val="num" w:pos="4320" w:leader="none"/>
        </w:tabs>
      </w:pPr>
      <w:rPr>
        <w:rFonts w:ascii="Wingdings" w:hAnsi="Wingdings"/>
        <w:sz w:val="20"/>
      </w:rPr>
    </w:lvl>
    <w:lvl w:ilvl="6">
      <w:start w:val="1"/>
      <w:numFmt w:val="bullet"/>
      <w:isLgl w:val="false"/>
      <w:suff w:val="tab"/>
      <w:lvlText w:val=""/>
      <w:lvlJc w:val="left"/>
      <w:pPr>
        <w:ind w:left="5040" w:hanging="360"/>
        <w:tabs>
          <w:tab w:val="num" w:pos="5040" w:leader="none"/>
        </w:tabs>
      </w:pPr>
      <w:rPr>
        <w:rFonts w:ascii="Wingdings" w:hAnsi="Wingdings"/>
        <w:sz w:val="20"/>
      </w:rPr>
    </w:lvl>
    <w:lvl w:ilvl="7">
      <w:start w:val="1"/>
      <w:numFmt w:val="bullet"/>
      <w:isLgl w:val="false"/>
      <w:suff w:val="tab"/>
      <w:lvlText w:val=""/>
      <w:lvlJc w:val="left"/>
      <w:pPr>
        <w:ind w:left="5760" w:hanging="360"/>
        <w:tabs>
          <w:tab w:val="num" w:pos="5760" w:leader="none"/>
        </w:tabs>
      </w:pPr>
      <w:rPr>
        <w:rFonts w:ascii="Wingdings" w:hAnsi="Wingdings"/>
        <w:sz w:val="20"/>
      </w:rPr>
    </w:lvl>
    <w:lvl w:ilvl="8">
      <w:start w:val="1"/>
      <w:numFmt w:val="bullet"/>
      <w:isLgl w:val="false"/>
      <w:suff w:val="tab"/>
      <w:lvlText w:val=""/>
      <w:lvlJc w:val="left"/>
      <w:pPr>
        <w:ind w:left="6480" w:hanging="360"/>
        <w:tabs>
          <w:tab w:val="num" w:pos="6480" w:leader="none"/>
        </w:tabs>
      </w:pPr>
      <w:rPr>
        <w:rFonts w:ascii="Wingdings" w:hAnsi="Wingdings"/>
        <w:sz w:val="20"/>
      </w:rPr>
    </w:lvl>
  </w:abstractNum>
  <w:abstractNum w:abstractNumId="3">
    <w:multiLevelType w:val="hybridMultilevel"/>
    <w:lvl w:ilvl="0">
      <w:start w:val="0"/>
      <w:numFmt w:val="bullet"/>
      <w:isLgl w:val="false"/>
      <w:suff w:val="tab"/>
      <w:lvlText w:val=""/>
      <w:lvlJc w:val="left"/>
      <w:pPr>
        <w:ind w:left="720" w:hanging="360"/>
      </w:pPr>
      <w:rPr>
        <w:rFonts w:ascii="Symbol" w:hAnsi="Symbol" w:eastAsia="Times New Roman" w:cs="Times New Roman"/>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2">
    <w:name w:val="Heading 1"/>
    <w:basedOn w:val="860"/>
    <w:next w:val="860"/>
    <w:link w:val="683"/>
    <w:uiPriority w:val="9"/>
    <w:qFormat/>
    <w:pPr>
      <w:keepLines/>
      <w:keepNext/>
      <w:spacing w:before="480" w:after="200"/>
      <w:outlineLvl w:val="0"/>
    </w:pPr>
    <w:rPr>
      <w:rFonts w:ascii="Arial" w:hAnsi="Arial" w:eastAsia="Arial" w:cs="Arial"/>
      <w:sz w:val="40"/>
      <w:szCs w:val="40"/>
    </w:rPr>
  </w:style>
  <w:style w:type="character" w:styleId="683">
    <w:name w:val="Heading 1 Char"/>
    <w:link w:val="682"/>
    <w:uiPriority w:val="9"/>
    <w:rPr>
      <w:rFonts w:ascii="Arial" w:hAnsi="Arial" w:eastAsia="Arial" w:cs="Arial"/>
      <w:sz w:val="40"/>
      <w:szCs w:val="40"/>
    </w:rPr>
  </w:style>
  <w:style w:type="paragraph" w:styleId="684">
    <w:name w:val="Heading 2"/>
    <w:basedOn w:val="860"/>
    <w:next w:val="860"/>
    <w:link w:val="685"/>
    <w:uiPriority w:val="9"/>
    <w:unhideWhenUsed/>
    <w:qFormat/>
    <w:pPr>
      <w:keepLines/>
      <w:keepNext/>
      <w:spacing w:before="360" w:after="200"/>
      <w:outlineLvl w:val="1"/>
    </w:pPr>
    <w:rPr>
      <w:rFonts w:ascii="Arial" w:hAnsi="Arial" w:eastAsia="Arial" w:cs="Arial"/>
      <w:sz w:val="34"/>
    </w:rPr>
  </w:style>
  <w:style w:type="character" w:styleId="685">
    <w:name w:val="Heading 2 Char"/>
    <w:link w:val="684"/>
    <w:uiPriority w:val="9"/>
    <w:rPr>
      <w:rFonts w:ascii="Arial" w:hAnsi="Arial" w:eastAsia="Arial" w:cs="Arial"/>
      <w:sz w:val="34"/>
    </w:rPr>
  </w:style>
  <w:style w:type="paragraph" w:styleId="686">
    <w:name w:val="Heading 3"/>
    <w:basedOn w:val="860"/>
    <w:next w:val="860"/>
    <w:link w:val="687"/>
    <w:uiPriority w:val="9"/>
    <w:unhideWhenUsed/>
    <w:qFormat/>
    <w:pPr>
      <w:keepLines/>
      <w:keepNext/>
      <w:spacing w:before="320" w:after="200"/>
      <w:outlineLvl w:val="2"/>
    </w:pPr>
    <w:rPr>
      <w:rFonts w:ascii="Arial" w:hAnsi="Arial" w:eastAsia="Arial" w:cs="Arial"/>
      <w:sz w:val="30"/>
      <w:szCs w:val="30"/>
    </w:rPr>
  </w:style>
  <w:style w:type="character" w:styleId="687">
    <w:name w:val="Heading 3 Char"/>
    <w:link w:val="686"/>
    <w:uiPriority w:val="9"/>
    <w:rPr>
      <w:rFonts w:ascii="Arial" w:hAnsi="Arial" w:eastAsia="Arial" w:cs="Arial"/>
      <w:sz w:val="30"/>
      <w:szCs w:val="30"/>
    </w:rPr>
  </w:style>
  <w:style w:type="paragraph" w:styleId="688">
    <w:name w:val="Heading 4"/>
    <w:basedOn w:val="860"/>
    <w:next w:val="860"/>
    <w:link w:val="689"/>
    <w:uiPriority w:val="9"/>
    <w:unhideWhenUsed/>
    <w:qFormat/>
    <w:pPr>
      <w:keepLines/>
      <w:keepNext/>
      <w:spacing w:before="320" w:after="200"/>
      <w:outlineLvl w:val="3"/>
    </w:pPr>
    <w:rPr>
      <w:rFonts w:ascii="Arial" w:hAnsi="Arial" w:eastAsia="Arial" w:cs="Arial"/>
      <w:b/>
      <w:bCs/>
      <w:sz w:val="26"/>
      <w:szCs w:val="26"/>
    </w:rPr>
  </w:style>
  <w:style w:type="character" w:styleId="689">
    <w:name w:val="Heading 4 Char"/>
    <w:link w:val="688"/>
    <w:uiPriority w:val="9"/>
    <w:rPr>
      <w:rFonts w:ascii="Arial" w:hAnsi="Arial" w:eastAsia="Arial" w:cs="Arial"/>
      <w:b/>
      <w:bCs/>
      <w:sz w:val="26"/>
      <w:szCs w:val="26"/>
    </w:rPr>
  </w:style>
  <w:style w:type="paragraph" w:styleId="690">
    <w:name w:val="Heading 5"/>
    <w:basedOn w:val="860"/>
    <w:next w:val="860"/>
    <w:link w:val="691"/>
    <w:uiPriority w:val="9"/>
    <w:unhideWhenUsed/>
    <w:qFormat/>
    <w:pPr>
      <w:keepLines/>
      <w:keepNext/>
      <w:spacing w:before="320" w:after="200"/>
      <w:outlineLvl w:val="4"/>
    </w:pPr>
    <w:rPr>
      <w:rFonts w:ascii="Arial" w:hAnsi="Arial" w:eastAsia="Arial" w:cs="Arial"/>
      <w:b/>
      <w:bCs/>
      <w:sz w:val="24"/>
      <w:szCs w:val="24"/>
    </w:rPr>
  </w:style>
  <w:style w:type="character" w:styleId="691">
    <w:name w:val="Heading 5 Char"/>
    <w:link w:val="690"/>
    <w:uiPriority w:val="9"/>
    <w:rPr>
      <w:rFonts w:ascii="Arial" w:hAnsi="Arial" w:eastAsia="Arial" w:cs="Arial"/>
      <w:b/>
      <w:bCs/>
      <w:sz w:val="24"/>
      <w:szCs w:val="24"/>
    </w:rPr>
  </w:style>
  <w:style w:type="paragraph" w:styleId="692">
    <w:name w:val="Heading 6"/>
    <w:basedOn w:val="860"/>
    <w:next w:val="860"/>
    <w:link w:val="693"/>
    <w:uiPriority w:val="9"/>
    <w:unhideWhenUsed/>
    <w:qFormat/>
    <w:pPr>
      <w:keepLines/>
      <w:keepNext/>
      <w:spacing w:before="320" w:after="200"/>
      <w:outlineLvl w:val="5"/>
    </w:pPr>
    <w:rPr>
      <w:rFonts w:ascii="Arial" w:hAnsi="Arial" w:eastAsia="Arial" w:cs="Arial"/>
      <w:b/>
      <w:bCs/>
      <w:sz w:val="22"/>
      <w:szCs w:val="22"/>
    </w:rPr>
  </w:style>
  <w:style w:type="character" w:styleId="693">
    <w:name w:val="Heading 6 Char"/>
    <w:link w:val="692"/>
    <w:uiPriority w:val="9"/>
    <w:rPr>
      <w:rFonts w:ascii="Arial" w:hAnsi="Arial" w:eastAsia="Arial" w:cs="Arial"/>
      <w:b/>
      <w:bCs/>
      <w:sz w:val="22"/>
      <w:szCs w:val="22"/>
    </w:rPr>
  </w:style>
  <w:style w:type="paragraph" w:styleId="694">
    <w:name w:val="Heading 7"/>
    <w:basedOn w:val="860"/>
    <w:next w:val="860"/>
    <w:link w:val="695"/>
    <w:uiPriority w:val="9"/>
    <w:unhideWhenUsed/>
    <w:qFormat/>
    <w:pPr>
      <w:keepLines/>
      <w:keepNext/>
      <w:spacing w:before="320" w:after="200"/>
      <w:outlineLvl w:val="6"/>
    </w:pPr>
    <w:rPr>
      <w:rFonts w:ascii="Arial" w:hAnsi="Arial" w:eastAsia="Arial" w:cs="Arial"/>
      <w:b/>
      <w:bCs/>
      <w:i/>
      <w:iCs/>
      <w:sz w:val="22"/>
      <w:szCs w:val="22"/>
    </w:rPr>
  </w:style>
  <w:style w:type="character" w:styleId="695">
    <w:name w:val="Heading 7 Char"/>
    <w:link w:val="694"/>
    <w:uiPriority w:val="9"/>
    <w:rPr>
      <w:rFonts w:ascii="Arial" w:hAnsi="Arial" w:eastAsia="Arial" w:cs="Arial"/>
      <w:b/>
      <w:bCs/>
      <w:i/>
      <w:iCs/>
      <w:sz w:val="22"/>
      <w:szCs w:val="22"/>
    </w:rPr>
  </w:style>
  <w:style w:type="paragraph" w:styleId="696">
    <w:name w:val="Heading 8"/>
    <w:basedOn w:val="860"/>
    <w:next w:val="860"/>
    <w:link w:val="697"/>
    <w:uiPriority w:val="9"/>
    <w:unhideWhenUsed/>
    <w:qFormat/>
    <w:pPr>
      <w:keepLines/>
      <w:keepNext/>
      <w:spacing w:before="320" w:after="200"/>
      <w:outlineLvl w:val="7"/>
    </w:pPr>
    <w:rPr>
      <w:rFonts w:ascii="Arial" w:hAnsi="Arial" w:eastAsia="Arial" w:cs="Arial"/>
      <w:i/>
      <w:iCs/>
      <w:sz w:val="22"/>
      <w:szCs w:val="22"/>
    </w:rPr>
  </w:style>
  <w:style w:type="character" w:styleId="697">
    <w:name w:val="Heading 8 Char"/>
    <w:link w:val="696"/>
    <w:uiPriority w:val="9"/>
    <w:rPr>
      <w:rFonts w:ascii="Arial" w:hAnsi="Arial" w:eastAsia="Arial" w:cs="Arial"/>
      <w:i/>
      <w:iCs/>
      <w:sz w:val="22"/>
      <w:szCs w:val="22"/>
    </w:rPr>
  </w:style>
  <w:style w:type="paragraph" w:styleId="698">
    <w:name w:val="Heading 9"/>
    <w:basedOn w:val="860"/>
    <w:next w:val="860"/>
    <w:link w:val="699"/>
    <w:uiPriority w:val="9"/>
    <w:unhideWhenUsed/>
    <w:qFormat/>
    <w:pPr>
      <w:keepLines/>
      <w:keepNext/>
      <w:spacing w:before="320" w:after="200"/>
      <w:outlineLvl w:val="8"/>
    </w:pPr>
    <w:rPr>
      <w:rFonts w:ascii="Arial" w:hAnsi="Arial" w:eastAsia="Arial" w:cs="Arial"/>
      <w:i/>
      <w:iCs/>
      <w:sz w:val="21"/>
      <w:szCs w:val="21"/>
    </w:rPr>
  </w:style>
  <w:style w:type="character" w:styleId="699">
    <w:name w:val="Heading 9 Char"/>
    <w:link w:val="698"/>
    <w:uiPriority w:val="9"/>
    <w:rPr>
      <w:rFonts w:ascii="Arial" w:hAnsi="Arial" w:eastAsia="Arial" w:cs="Arial"/>
      <w:i/>
      <w:iCs/>
      <w:sz w:val="21"/>
      <w:szCs w:val="21"/>
    </w:rPr>
  </w:style>
  <w:style w:type="paragraph" w:styleId="700">
    <w:name w:val="List Paragraph"/>
    <w:basedOn w:val="860"/>
    <w:uiPriority w:val="34"/>
    <w:qFormat/>
    <w:pPr>
      <w:contextualSpacing/>
      <w:ind w:left="720"/>
    </w:pPr>
  </w:style>
  <w:style w:type="paragraph" w:styleId="701">
    <w:name w:val="No Spacing"/>
    <w:uiPriority w:val="1"/>
    <w:qFormat/>
    <w:pPr>
      <w:spacing w:before="0" w:after="0" w:line="240" w:lineRule="auto"/>
    </w:pPr>
  </w:style>
  <w:style w:type="paragraph" w:styleId="702">
    <w:name w:val="Title"/>
    <w:basedOn w:val="860"/>
    <w:next w:val="860"/>
    <w:link w:val="703"/>
    <w:uiPriority w:val="10"/>
    <w:qFormat/>
    <w:pPr>
      <w:contextualSpacing/>
      <w:spacing w:before="300" w:after="200"/>
    </w:pPr>
    <w:rPr>
      <w:sz w:val="48"/>
      <w:szCs w:val="48"/>
    </w:rPr>
  </w:style>
  <w:style w:type="character" w:styleId="703">
    <w:name w:val="Title Char"/>
    <w:link w:val="702"/>
    <w:uiPriority w:val="10"/>
    <w:rPr>
      <w:sz w:val="48"/>
      <w:szCs w:val="48"/>
    </w:rPr>
  </w:style>
  <w:style w:type="paragraph" w:styleId="704">
    <w:name w:val="Subtitle"/>
    <w:basedOn w:val="860"/>
    <w:next w:val="860"/>
    <w:link w:val="705"/>
    <w:uiPriority w:val="11"/>
    <w:qFormat/>
    <w:pPr>
      <w:spacing w:before="200" w:after="200"/>
    </w:pPr>
    <w:rPr>
      <w:sz w:val="24"/>
      <w:szCs w:val="24"/>
    </w:rPr>
  </w:style>
  <w:style w:type="character" w:styleId="705">
    <w:name w:val="Subtitle Char"/>
    <w:link w:val="704"/>
    <w:uiPriority w:val="11"/>
    <w:rPr>
      <w:sz w:val="24"/>
      <w:szCs w:val="24"/>
    </w:rPr>
  </w:style>
  <w:style w:type="paragraph" w:styleId="706">
    <w:name w:val="Quote"/>
    <w:basedOn w:val="860"/>
    <w:next w:val="860"/>
    <w:link w:val="707"/>
    <w:uiPriority w:val="29"/>
    <w:qFormat/>
    <w:pPr>
      <w:ind w:left="720" w:right="720"/>
    </w:pPr>
    <w:rPr>
      <w:i/>
    </w:rPr>
  </w:style>
  <w:style w:type="character" w:styleId="707">
    <w:name w:val="Quote Char"/>
    <w:link w:val="706"/>
    <w:uiPriority w:val="29"/>
    <w:rPr>
      <w:i/>
    </w:rPr>
  </w:style>
  <w:style w:type="paragraph" w:styleId="708">
    <w:name w:val="Intense Quote"/>
    <w:basedOn w:val="860"/>
    <w:next w:val="860"/>
    <w:link w:val="70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9">
    <w:name w:val="Intense Quote Char"/>
    <w:link w:val="708"/>
    <w:uiPriority w:val="30"/>
    <w:rPr>
      <w:i/>
    </w:rPr>
  </w:style>
  <w:style w:type="paragraph" w:styleId="710">
    <w:name w:val="Header"/>
    <w:basedOn w:val="860"/>
    <w:link w:val="711"/>
    <w:uiPriority w:val="99"/>
    <w:unhideWhenUsed/>
    <w:pPr>
      <w:spacing w:after="0" w:line="240" w:lineRule="auto"/>
      <w:tabs>
        <w:tab w:val="center" w:pos="7143" w:leader="none"/>
        <w:tab w:val="right" w:pos="14287" w:leader="none"/>
      </w:tabs>
    </w:pPr>
  </w:style>
  <w:style w:type="character" w:styleId="711">
    <w:name w:val="Header Char"/>
    <w:link w:val="710"/>
    <w:uiPriority w:val="99"/>
  </w:style>
  <w:style w:type="paragraph" w:styleId="712">
    <w:name w:val="Footer"/>
    <w:basedOn w:val="860"/>
    <w:link w:val="715"/>
    <w:uiPriority w:val="99"/>
    <w:unhideWhenUsed/>
    <w:pPr>
      <w:spacing w:after="0" w:line="240" w:lineRule="auto"/>
      <w:tabs>
        <w:tab w:val="center" w:pos="7143" w:leader="none"/>
        <w:tab w:val="right" w:pos="14287" w:leader="none"/>
      </w:tabs>
    </w:pPr>
  </w:style>
  <w:style w:type="character" w:styleId="713">
    <w:name w:val="Footer Char"/>
    <w:link w:val="712"/>
    <w:uiPriority w:val="99"/>
  </w:style>
  <w:style w:type="paragraph" w:styleId="714">
    <w:name w:val="Caption"/>
    <w:basedOn w:val="860"/>
    <w:next w:val="860"/>
    <w:link w:val="715"/>
    <w:uiPriority w:val="35"/>
    <w:semiHidden/>
    <w:unhideWhenUsed/>
    <w:qFormat/>
    <w:pPr>
      <w:spacing w:line="276" w:lineRule="auto"/>
    </w:pPr>
    <w:rPr>
      <w:b/>
      <w:bCs/>
      <w:color w:val="4f81bd" w:themeColor="accent1"/>
      <w:sz w:val="18"/>
      <w:szCs w:val="18"/>
    </w:rPr>
  </w:style>
  <w:style w:type="character" w:styleId="715">
    <w:name w:val="Caption Char"/>
    <w:basedOn w:val="714"/>
    <w:link w:val="712"/>
    <w:uiPriority w:val="99"/>
  </w:style>
  <w:style w:type="table" w:styleId="716">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17">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8">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9">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0">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21">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2">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23">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24">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25">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26">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27">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8">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9">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30">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31">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32">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33">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34">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35">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36">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37">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8">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9">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0">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1">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2">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3">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4">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45">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46">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47">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8">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9">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50">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51">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52">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53">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54">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55">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56">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57">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58">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9">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60">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61">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62">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63">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64">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65">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66">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67">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8">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9">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70">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71">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72">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73">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74">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75">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76">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77">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8">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9">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80">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81">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82">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83">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84">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85">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86">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7">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8">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89">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90">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91">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92">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93">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4">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95">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96">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97">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98">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99">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00">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1">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2">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3">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4">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5">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6">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7">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8">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09">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10">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11">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12">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13">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14">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15">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16">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17">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18">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19">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20">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21">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2">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23">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24">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25">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26">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27">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8">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9">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30">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31">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32">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33">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34">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35">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36">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37">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8">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9">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40">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41">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42">
    <w:name w:val="Hyperlink"/>
    <w:uiPriority w:val="99"/>
    <w:unhideWhenUsed/>
    <w:rPr>
      <w:color w:val="0000ff" w:themeColor="hyperlink"/>
      <w:u w:val="single"/>
    </w:rPr>
  </w:style>
  <w:style w:type="paragraph" w:styleId="843">
    <w:name w:val="footnote text"/>
    <w:basedOn w:val="860"/>
    <w:link w:val="844"/>
    <w:uiPriority w:val="99"/>
    <w:semiHidden/>
    <w:unhideWhenUsed/>
    <w:pPr>
      <w:spacing w:after="40" w:line="240" w:lineRule="auto"/>
    </w:pPr>
    <w:rPr>
      <w:sz w:val="18"/>
    </w:rPr>
  </w:style>
  <w:style w:type="character" w:styleId="844">
    <w:name w:val="Footnote Text Char"/>
    <w:link w:val="843"/>
    <w:uiPriority w:val="99"/>
    <w:rPr>
      <w:sz w:val="18"/>
    </w:rPr>
  </w:style>
  <w:style w:type="character" w:styleId="845">
    <w:name w:val="footnote reference"/>
    <w:uiPriority w:val="99"/>
    <w:unhideWhenUsed/>
    <w:rPr>
      <w:vertAlign w:val="superscript"/>
    </w:rPr>
  </w:style>
  <w:style w:type="paragraph" w:styleId="846">
    <w:name w:val="endnote text"/>
    <w:basedOn w:val="860"/>
    <w:link w:val="847"/>
    <w:uiPriority w:val="99"/>
    <w:semiHidden/>
    <w:unhideWhenUsed/>
    <w:pPr>
      <w:spacing w:after="0" w:line="240" w:lineRule="auto"/>
    </w:pPr>
    <w:rPr>
      <w:sz w:val="20"/>
    </w:rPr>
  </w:style>
  <w:style w:type="character" w:styleId="847">
    <w:name w:val="Endnote Text Char"/>
    <w:link w:val="846"/>
    <w:uiPriority w:val="99"/>
    <w:rPr>
      <w:sz w:val="20"/>
    </w:rPr>
  </w:style>
  <w:style w:type="character" w:styleId="848">
    <w:name w:val="endnote reference"/>
    <w:uiPriority w:val="99"/>
    <w:semiHidden/>
    <w:unhideWhenUsed/>
    <w:rPr>
      <w:vertAlign w:val="superscript"/>
    </w:rPr>
  </w:style>
  <w:style w:type="paragraph" w:styleId="849">
    <w:name w:val="toc 1"/>
    <w:basedOn w:val="860"/>
    <w:next w:val="860"/>
    <w:uiPriority w:val="39"/>
    <w:unhideWhenUsed/>
    <w:pPr>
      <w:ind w:left="0" w:right="0" w:firstLine="0"/>
      <w:spacing w:after="57"/>
    </w:pPr>
  </w:style>
  <w:style w:type="paragraph" w:styleId="850">
    <w:name w:val="toc 2"/>
    <w:basedOn w:val="860"/>
    <w:next w:val="860"/>
    <w:uiPriority w:val="39"/>
    <w:unhideWhenUsed/>
    <w:pPr>
      <w:ind w:left="283" w:right="0" w:firstLine="0"/>
      <w:spacing w:after="57"/>
    </w:pPr>
  </w:style>
  <w:style w:type="paragraph" w:styleId="851">
    <w:name w:val="toc 3"/>
    <w:basedOn w:val="860"/>
    <w:next w:val="860"/>
    <w:uiPriority w:val="39"/>
    <w:unhideWhenUsed/>
    <w:pPr>
      <w:ind w:left="567" w:right="0" w:firstLine="0"/>
      <w:spacing w:after="57"/>
    </w:pPr>
  </w:style>
  <w:style w:type="paragraph" w:styleId="852">
    <w:name w:val="toc 4"/>
    <w:basedOn w:val="860"/>
    <w:next w:val="860"/>
    <w:uiPriority w:val="39"/>
    <w:unhideWhenUsed/>
    <w:pPr>
      <w:ind w:left="850" w:right="0" w:firstLine="0"/>
      <w:spacing w:after="57"/>
    </w:pPr>
  </w:style>
  <w:style w:type="paragraph" w:styleId="853">
    <w:name w:val="toc 5"/>
    <w:basedOn w:val="860"/>
    <w:next w:val="860"/>
    <w:uiPriority w:val="39"/>
    <w:unhideWhenUsed/>
    <w:pPr>
      <w:ind w:left="1134" w:right="0" w:firstLine="0"/>
      <w:spacing w:after="57"/>
    </w:pPr>
  </w:style>
  <w:style w:type="paragraph" w:styleId="854">
    <w:name w:val="toc 6"/>
    <w:basedOn w:val="860"/>
    <w:next w:val="860"/>
    <w:uiPriority w:val="39"/>
    <w:unhideWhenUsed/>
    <w:pPr>
      <w:ind w:left="1417" w:right="0" w:firstLine="0"/>
      <w:spacing w:after="57"/>
    </w:pPr>
  </w:style>
  <w:style w:type="paragraph" w:styleId="855">
    <w:name w:val="toc 7"/>
    <w:basedOn w:val="860"/>
    <w:next w:val="860"/>
    <w:uiPriority w:val="39"/>
    <w:unhideWhenUsed/>
    <w:pPr>
      <w:ind w:left="1701" w:right="0" w:firstLine="0"/>
      <w:spacing w:after="57"/>
    </w:pPr>
  </w:style>
  <w:style w:type="paragraph" w:styleId="856">
    <w:name w:val="toc 8"/>
    <w:basedOn w:val="860"/>
    <w:next w:val="860"/>
    <w:uiPriority w:val="39"/>
    <w:unhideWhenUsed/>
    <w:pPr>
      <w:ind w:left="1984" w:right="0" w:firstLine="0"/>
      <w:spacing w:after="57"/>
    </w:pPr>
  </w:style>
  <w:style w:type="paragraph" w:styleId="857">
    <w:name w:val="toc 9"/>
    <w:basedOn w:val="860"/>
    <w:next w:val="860"/>
    <w:uiPriority w:val="39"/>
    <w:unhideWhenUsed/>
    <w:pPr>
      <w:ind w:left="2268" w:right="0" w:firstLine="0"/>
      <w:spacing w:after="57"/>
    </w:pPr>
  </w:style>
  <w:style w:type="paragraph" w:styleId="858">
    <w:name w:val="TOC Heading"/>
    <w:uiPriority w:val="39"/>
    <w:unhideWhenUsed/>
  </w:style>
  <w:style w:type="paragraph" w:styleId="859">
    <w:name w:val="table of figures"/>
    <w:basedOn w:val="860"/>
    <w:next w:val="860"/>
    <w:uiPriority w:val="99"/>
    <w:unhideWhenUsed/>
    <w:pPr>
      <w:spacing w:after="0" w:afterAutospacing="0"/>
    </w:pPr>
  </w:style>
  <w:style w:type="paragraph" w:styleId="860" w:default="1">
    <w:name w:val="Normal"/>
    <w:next w:val="860"/>
    <w:link w:val="860"/>
    <w:qFormat/>
    <w:rPr>
      <w:sz w:val="24"/>
      <w:szCs w:val="24"/>
      <w:lang w:val="ru-RU" w:eastAsia="ru-RU" w:bidi="ar-SA"/>
    </w:rPr>
  </w:style>
  <w:style w:type="paragraph" w:styleId="861">
    <w:name w:val="Заголовок 1"/>
    <w:basedOn w:val="860"/>
    <w:next w:val="860"/>
    <w:link w:val="860"/>
    <w:qFormat/>
    <w:pPr>
      <w:ind w:firstLine="708"/>
      <w:jc w:val="both"/>
      <w:keepNext/>
      <w:outlineLvl w:val="0"/>
    </w:pPr>
    <w:rPr>
      <w:sz w:val="28"/>
      <w:szCs w:val="17"/>
    </w:rPr>
  </w:style>
  <w:style w:type="paragraph" w:styleId="862">
    <w:name w:val="Заголовок 2"/>
    <w:basedOn w:val="860"/>
    <w:next w:val="860"/>
    <w:link w:val="892"/>
    <w:qFormat/>
    <w:pPr>
      <w:jc w:val="right"/>
      <w:keepNext/>
      <w:outlineLvl w:val="1"/>
    </w:pPr>
    <w:rPr>
      <w:bCs/>
      <w:sz w:val="28"/>
      <w:szCs w:val="32"/>
      <w:lang w:val="en-US" w:eastAsia="en-US"/>
    </w:rPr>
  </w:style>
  <w:style w:type="paragraph" w:styleId="863">
    <w:name w:val="Заголовок 5"/>
    <w:basedOn w:val="860"/>
    <w:next w:val="860"/>
    <w:link w:val="883"/>
    <w:uiPriority w:val="99"/>
    <w:qFormat/>
    <w:pPr>
      <w:jc w:val="both"/>
      <w:keepNext/>
      <w:outlineLvl w:val="4"/>
    </w:pPr>
    <w:rPr>
      <w:sz w:val="28"/>
      <w:szCs w:val="28"/>
      <w:lang w:val="en-US" w:eastAsia="en-US"/>
    </w:rPr>
  </w:style>
  <w:style w:type="character" w:styleId="864">
    <w:name w:val="Основной шрифт абзаца"/>
    <w:next w:val="864"/>
    <w:link w:val="860"/>
    <w:semiHidden/>
  </w:style>
  <w:style w:type="table" w:styleId="865">
    <w:name w:val="Обычная таблица"/>
    <w:next w:val="865"/>
    <w:link w:val="860"/>
    <w:uiPriority w:val="99"/>
    <w:semiHidden/>
    <w:unhideWhenUsed/>
    <w:tblPr/>
  </w:style>
  <w:style w:type="numbering" w:styleId="866">
    <w:name w:val="Нет списка"/>
    <w:next w:val="866"/>
    <w:link w:val="860"/>
    <w:uiPriority w:val="99"/>
    <w:semiHidden/>
    <w:unhideWhenUsed/>
  </w:style>
  <w:style w:type="paragraph" w:styleId="867">
    <w:name w:val="Основной текст"/>
    <w:basedOn w:val="860"/>
    <w:next w:val="867"/>
    <w:link w:val="884"/>
    <w:pPr>
      <w:jc w:val="both"/>
    </w:pPr>
    <w:rPr>
      <w:sz w:val="28"/>
      <w:lang w:val="en-US" w:eastAsia="en-US"/>
    </w:rPr>
  </w:style>
  <w:style w:type="character" w:styleId="868">
    <w:name w:val="Гиперссылка"/>
    <w:next w:val="868"/>
    <w:link w:val="860"/>
    <w:uiPriority w:val="99"/>
    <w:semiHidden/>
    <w:rPr>
      <w:color w:val="0000ff"/>
      <w:u w:val="single"/>
    </w:rPr>
  </w:style>
  <w:style w:type="paragraph" w:styleId="869">
    <w:name w:val="Основной текст с отступом 2"/>
    <w:basedOn w:val="860"/>
    <w:next w:val="869"/>
    <w:link w:val="860"/>
    <w:semiHidden/>
    <w:pPr>
      <w:ind w:right="126" w:firstLine="708"/>
      <w:jc w:val="both"/>
      <w:spacing w:before="300" w:after="225"/>
    </w:pPr>
    <w:rPr>
      <w:sz w:val="28"/>
      <w:szCs w:val="20"/>
    </w:rPr>
  </w:style>
  <w:style w:type="paragraph" w:styleId="870">
    <w:name w:val="Основной текст с отступом,Нумерованный список !!"/>
    <w:basedOn w:val="860"/>
    <w:next w:val="870"/>
    <w:link w:val="860"/>
    <w:semiHidden/>
    <w:pPr>
      <w:ind w:firstLine="708"/>
      <w:jc w:val="both"/>
    </w:pPr>
    <w:rPr>
      <w:sz w:val="28"/>
    </w:rPr>
  </w:style>
  <w:style w:type="character" w:styleId="871">
    <w:name w:val="Строгий"/>
    <w:next w:val="871"/>
    <w:link w:val="860"/>
    <w:uiPriority w:val="22"/>
    <w:qFormat/>
    <w:rPr>
      <w:b/>
      <w:bCs/>
    </w:rPr>
  </w:style>
  <w:style w:type="paragraph" w:styleId="872">
    <w:name w:val="Основной текст 2"/>
    <w:basedOn w:val="860"/>
    <w:next w:val="872"/>
    <w:link w:val="860"/>
    <w:semiHidden/>
    <w:pPr>
      <w:jc w:val="both"/>
    </w:pPr>
    <w:rPr>
      <w:b/>
      <w:bCs/>
      <w:sz w:val="28"/>
    </w:rPr>
  </w:style>
  <w:style w:type="paragraph" w:styleId="873">
    <w:name w:val="Обычный (веб),Обычный (Интернет),Обычный (веб)1,Обычный (веб) Знак,Обычный (веб) Знак1,Обычный (веб) Знак Знак,Обычный (Web),Обычный (Web) Знак Знак Знак,Обычный (Web)1,Обычный (веб) Знак Знак Знак,Обычный (веб) Знак2,Обычный (веб) Знак Знак1"/>
    <w:basedOn w:val="860"/>
    <w:next w:val="873"/>
    <w:link w:val="890"/>
    <w:rPr>
      <w:lang w:val="en-US" w:eastAsia="en-US"/>
    </w:rPr>
  </w:style>
  <w:style w:type="paragraph" w:styleId="874">
    <w:name w:val="ConsPlusNonformat"/>
    <w:next w:val="874"/>
    <w:link w:val="860"/>
    <w:rPr>
      <w:rFonts w:ascii="Courier New" w:hAnsi="Courier New" w:cs="Courier New"/>
      <w:lang w:val="ru-RU" w:eastAsia="ru-RU" w:bidi="ar-SA"/>
    </w:rPr>
  </w:style>
  <w:style w:type="paragraph" w:styleId="875">
    <w:name w:val="Основной текст с отступом 3"/>
    <w:basedOn w:val="860"/>
    <w:next w:val="875"/>
    <w:link w:val="860"/>
    <w:semiHidden/>
    <w:pPr>
      <w:ind w:firstLine="708"/>
      <w:jc w:val="both"/>
    </w:pPr>
    <w:rPr>
      <w:sz w:val="28"/>
      <w:szCs w:val="17"/>
    </w:rPr>
  </w:style>
  <w:style w:type="paragraph" w:styleId="876">
    <w:name w:val="ConsPlusNormal"/>
    <w:next w:val="876"/>
    <w:link w:val="885"/>
    <w:pPr>
      <w:ind w:firstLine="720"/>
      <w:widowControl w:val="off"/>
    </w:pPr>
    <w:rPr>
      <w:rFonts w:ascii="Arial" w:hAnsi="Arial" w:cs="Arial"/>
      <w:lang w:val="ru-RU" w:eastAsia="ru-RU" w:bidi="ar-SA"/>
    </w:rPr>
  </w:style>
  <w:style w:type="paragraph" w:styleId="877">
    <w:name w:val="Положение"/>
    <w:basedOn w:val="860"/>
    <w:next w:val="877"/>
    <w:link w:val="860"/>
    <w:pPr>
      <w:ind w:firstLine="709"/>
      <w:jc w:val="both"/>
    </w:pPr>
    <w:rPr>
      <w:sz w:val="28"/>
      <w:szCs w:val="28"/>
    </w:rPr>
  </w:style>
  <w:style w:type="paragraph" w:styleId="878">
    <w:name w:val="Основной текст 3"/>
    <w:basedOn w:val="860"/>
    <w:next w:val="878"/>
    <w:link w:val="860"/>
    <w:semiHidden/>
    <w:pPr>
      <w:jc w:val="both"/>
    </w:pPr>
    <w:rPr>
      <w:sz w:val="22"/>
      <w:szCs w:val="20"/>
    </w:rPr>
  </w:style>
  <w:style w:type="character" w:styleId="879">
    <w:name w:val="apple-converted-space"/>
    <w:basedOn w:val="864"/>
    <w:next w:val="879"/>
    <w:link w:val="860"/>
  </w:style>
  <w:style w:type="paragraph" w:styleId="880">
    <w:name w:val="Текст выноски"/>
    <w:basedOn w:val="860"/>
    <w:next w:val="880"/>
    <w:link w:val="881"/>
    <w:uiPriority w:val="99"/>
    <w:semiHidden/>
    <w:unhideWhenUsed/>
    <w:rPr>
      <w:rFonts w:ascii="Tahoma" w:hAnsi="Tahoma"/>
      <w:sz w:val="16"/>
      <w:szCs w:val="16"/>
      <w:lang w:val="en-US" w:eastAsia="en-US"/>
    </w:rPr>
  </w:style>
  <w:style w:type="character" w:styleId="881">
    <w:name w:val="Текст выноски Знак"/>
    <w:next w:val="881"/>
    <w:link w:val="880"/>
    <w:uiPriority w:val="99"/>
    <w:semiHidden/>
    <w:rPr>
      <w:rFonts w:ascii="Tahoma" w:hAnsi="Tahoma" w:cs="Tahoma"/>
      <w:sz w:val="16"/>
      <w:szCs w:val="16"/>
    </w:rPr>
  </w:style>
  <w:style w:type="paragraph" w:styleId="882">
    <w:name w:val="Абзац списка"/>
    <w:basedOn w:val="860"/>
    <w:next w:val="882"/>
    <w:link w:val="860"/>
    <w:uiPriority w:val="34"/>
    <w:qFormat/>
    <w:pPr>
      <w:contextualSpacing/>
      <w:ind w:left="720"/>
      <w:spacing w:after="200" w:line="276" w:lineRule="auto"/>
    </w:pPr>
    <w:rPr>
      <w:rFonts w:ascii="Calibri" w:hAnsi="Calibri" w:eastAsia="Calibri" w:cs="Times New Roman"/>
      <w:sz w:val="22"/>
      <w:szCs w:val="22"/>
      <w:lang w:eastAsia="en-US"/>
    </w:rPr>
  </w:style>
  <w:style w:type="character" w:styleId="883">
    <w:name w:val="Заголовок 5 Знак"/>
    <w:next w:val="883"/>
    <w:link w:val="863"/>
    <w:uiPriority w:val="99"/>
    <w:rPr>
      <w:sz w:val="28"/>
      <w:szCs w:val="28"/>
    </w:rPr>
  </w:style>
  <w:style w:type="character" w:styleId="884">
    <w:name w:val="Основной текст Знак"/>
    <w:next w:val="884"/>
    <w:link w:val="867"/>
    <w:rPr>
      <w:sz w:val="28"/>
      <w:szCs w:val="24"/>
    </w:rPr>
  </w:style>
  <w:style w:type="character" w:styleId="885">
    <w:name w:val="ConsPlusNormal Знак"/>
    <w:next w:val="885"/>
    <w:link w:val="876"/>
    <w:rPr>
      <w:rFonts w:ascii="Arial" w:hAnsi="Arial" w:cs="Arial"/>
      <w:lang w:val="ru-RU" w:eastAsia="ru-RU" w:bidi="ar-SA"/>
    </w:rPr>
  </w:style>
  <w:style w:type="paragraph" w:styleId="886">
    <w:name w:val="Верхний колонтитул"/>
    <w:basedOn w:val="860"/>
    <w:next w:val="886"/>
    <w:link w:val="887"/>
    <w:uiPriority w:val="99"/>
    <w:unhideWhenUsed/>
    <w:pPr>
      <w:tabs>
        <w:tab w:val="center" w:pos="4677" w:leader="none"/>
        <w:tab w:val="right" w:pos="9355" w:leader="none"/>
      </w:tabs>
    </w:pPr>
    <w:rPr>
      <w:lang w:val="en-US" w:eastAsia="en-US"/>
    </w:rPr>
  </w:style>
  <w:style w:type="character" w:styleId="887">
    <w:name w:val="Верхний колонтитул Знак"/>
    <w:next w:val="887"/>
    <w:link w:val="886"/>
    <w:uiPriority w:val="99"/>
    <w:rPr>
      <w:sz w:val="24"/>
      <w:szCs w:val="24"/>
    </w:rPr>
  </w:style>
  <w:style w:type="paragraph" w:styleId="888">
    <w:name w:val="Нижний колонтитул"/>
    <w:basedOn w:val="860"/>
    <w:next w:val="888"/>
    <w:link w:val="889"/>
    <w:uiPriority w:val="99"/>
    <w:unhideWhenUsed/>
    <w:pPr>
      <w:tabs>
        <w:tab w:val="center" w:pos="4677" w:leader="none"/>
        <w:tab w:val="right" w:pos="9355" w:leader="none"/>
      </w:tabs>
    </w:pPr>
    <w:rPr>
      <w:lang w:val="en-US" w:eastAsia="en-US"/>
    </w:rPr>
  </w:style>
  <w:style w:type="character" w:styleId="889">
    <w:name w:val="Нижний колонтитул Знак"/>
    <w:next w:val="889"/>
    <w:link w:val="888"/>
    <w:uiPriority w:val="99"/>
    <w:rPr>
      <w:sz w:val="24"/>
      <w:szCs w:val="24"/>
    </w:rPr>
  </w:style>
  <w:style w:type="character" w:styleId="890">
    <w:name w:val="Обычный (веб) Знак3,Обычный (веб)1 Знак,Обычный (веб) Знак Знак2,Обычный (веб) Знак1 Знак1,Обычный (веб) Знак Знак Знак1,Обычный (Web) Знак,Обычный (Web) Знак Знак Знак Знак,Обычный (Web)1 Знак,Обычный (веб) Знак Знак Знак Знак,Обычный (веб) Знак2 Знак"/>
    <w:next w:val="890"/>
    <w:link w:val="873"/>
    <w:rPr>
      <w:sz w:val="24"/>
      <w:szCs w:val="24"/>
    </w:rPr>
  </w:style>
  <w:style w:type="character" w:styleId="891">
    <w:name w:val="Выделение"/>
    <w:next w:val="891"/>
    <w:link w:val="860"/>
    <w:uiPriority w:val="20"/>
    <w:qFormat/>
    <w:rPr>
      <w:i/>
      <w:iCs/>
    </w:rPr>
  </w:style>
  <w:style w:type="character" w:styleId="892">
    <w:name w:val="Заголовок 2 Знак"/>
    <w:next w:val="892"/>
    <w:link w:val="862"/>
    <w:rPr>
      <w:bCs/>
      <w:sz w:val="28"/>
      <w:szCs w:val="32"/>
    </w:rPr>
  </w:style>
  <w:style w:type="paragraph" w:styleId="893">
    <w:name w:val="content--common-block__block-3u"/>
    <w:basedOn w:val="860"/>
    <w:next w:val="893"/>
    <w:link w:val="860"/>
    <w:pPr>
      <w:spacing w:before="100" w:beforeAutospacing="1" w:after="100" w:afterAutospacing="1"/>
    </w:pPr>
  </w:style>
  <w:style w:type="character" w:styleId="894" w:default="1">
    <w:name w:val="Default Paragraph Font"/>
    <w:uiPriority w:val="1"/>
    <w:semiHidden/>
    <w:unhideWhenUsed/>
  </w:style>
  <w:style w:type="numbering" w:styleId="895" w:default="1">
    <w:name w:val="No List"/>
    <w:uiPriority w:val="99"/>
    <w:semiHidden/>
    <w:unhideWhenUsed/>
  </w:style>
  <w:style w:type="table" w:styleId="896"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Р7-Офис/2025.2.2.831</Application>
  <Company>Управление Роснедвижимсти по НСО</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Зайцева Наталья</dc:creator>
  <cp:lastModifiedBy>user</cp:lastModifiedBy>
  <cp:revision>10</cp:revision>
  <dcterms:created xsi:type="dcterms:W3CDTF">2026-02-07T06:47:00Z</dcterms:created>
  <dcterms:modified xsi:type="dcterms:W3CDTF">2026-02-18T05:50:28Z</dcterms:modified>
  <cp:version>786432</cp:version>
</cp:coreProperties>
</file>