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rPr>
          <w:b/>
          <w:sz w:val="28"/>
          <w:szCs w:val="28"/>
        </w:rPr>
      </w:pPr>
      <w:r>
        <w:rPr>
          <w:rFonts w:cs="Calibri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21855" cy="899992"/>
                <wp:effectExtent l="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6753380" name="Picture 2" descr="C:\Users\fsv\Desktop\ССЫЛКИ и ПАПКИ\Упрощенный логотип Росреестра (новый 2025г)\Logo horizontal\Logo black horizontal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2221853" cy="899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4.95pt;height:70.87pt;mso-wrap-distance-left:0.00pt;mso-wrap-distance-top:0.00pt;mso-wrap-distance-right:0.00pt;mso-wrap-distance-bottom:0.00pt;rotation:0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3"/>
        <w:jc w:val="center"/>
        <w:rPr>
          <w:b/>
          <w:color w:val="5b9bd5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Более 76% земельных участков Новосибирской области имеют установленные границы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  <w:r>
        <w:rPr>
          <w:b/>
          <w:color w:val="5b9bd5"/>
          <w:sz w:val="28"/>
          <w:szCs w:val="28"/>
        </w:rPr>
      </w:r>
    </w:p>
    <w:p>
      <w:pPr>
        <w:ind w:firstLine="851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границах земельного участка вносятся в Единый государственный реестр недвижимости (ЕГРН). На данный момент доля </w:t>
      </w:r>
      <w:r>
        <w:rPr>
          <w:rFonts w:ascii="Times New Roman" w:hAnsi="Times New Roman" w:cs="Times New Roman"/>
          <w:sz w:val="28"/>
          <w:szCs w:val="28"/>
        </w:rPr>
        <w:t xml:space="preserve">земельных участков региона</w:t>
      </w:r>
      <w:r>
        <w:rPr>
          <w:rFonts w:ascii="Times New Roman" w:hAnsi="Times New Roman" w:cs="Times New Roman"/>
          <w:sz w:val="28"/>
          <w:szCs w:val="28"/>
        </w:rPr>
        <w:t xml:space="preserve">, в отношении которых установлены границы, составляет 76,5%. За год данный показатель вырос на 3% больше.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  <w:t xml:space="preserve">«У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становле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нные границы земельного участка – это обязательное условие при совершении сделок с землей и оформлении прав на объекты недвижимости, расположенные на земельном участке</w:t>
      </w:r>
      <w:r>
        <w:rPr>
          <w:rFonts w:ascii="Times New Roman" w:hAnsi="Times New Roman" w:cs="Times New Roman"/>
          <w:sz w:val="28"/>
          <w:szCs w:val="28"/>
        </w:rPr>
        <w:t xml:space="preserve">, – говорит заместитель руководителя Управления Росреестра по Новосибирской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Наталья Ивчатова</w:t>
      </w:r>
      <w:r>
        <w:rPr>
          <w:rFonts w:ascii="Times New Roman" w:hAnsi="Times New Roman" w:cs="Times New Roman"/>
          <w:sz w:val="28"/>
          <w:szCs w:val="28"/>
        </w:rPr>
        <w:t xml:space="preserve">. -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Наличие в реестре недвижимости сведений о координатах характерных точек границ земельного участка защищают его собственника от мошенническ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их действий и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споров с соседями. Если границы земельного участка установлены и внесены в ЕГРН, это дает возможность газифицировать домовладение, присвоить адрес земельному участку или изменить вид разрешенного использования».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851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Для установления точных границ участков на территории Новосибирской области проводятся комплексные кадастровые работы за счет бюджетных средств. Эти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представляют собой одновременное установление границ всех земельных участков и объектов недвижимости в пределах кадастрового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квартала и/или населенного пункта, в рамках таких работ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устраняются существующие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реестровые ошибки, образуются земельные участки общего пользования.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851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текущем 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на территории региона проводятся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комплексные кадастровые работы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746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кадастровых кварталов, расположенных в границах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населенных пунктах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Планируется уточнить сведения в отношении более 50 тысяч объектов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. С территориями проведения комплексных кадастровых работ можно ознакомиться на официальном сайте Росреестра в сети Интернет по ссылке </w:t>
      </w:r>
      <w:r>
        <w:rPr>
          <w:rFonts w:ascii="Times New Roman" w:hAnsi="Times New Roman" w:cs="Times New Roman"/>
          <w:sz w:val="28"/>
          <w:szCs w:val="28"/>
        </w:rPr>
        <w:t xml:space="preserve">https://rosreestr.gov.ru/activity/obespechenie-kadastrovoy-deyatelnosti/kompleksnye-kadastrovye-raboty/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проведению комплексных кадастровых работ к 2030 году планируется установить </w:t>
      </w:r>
      <w:r>
        <w:rPr>
          <w:rFonts w:ascii="Times New Roman" w:hAnsi="Times New Roman" w:cs="Times New Roman"/>
          <w:sz w:val="28"/>
          <w:szCs w:val="28"/>
        </w:rPr>
        <w:t xml:space="preserve">границы </w:t>
      </w:r>
      <w:r>
        <w:rPr>
          <w:rFonts w:ascii="Times New Roman" w:hAnsi="Times New Roman" w:cs="Times New Roman"/>
          <w:sz w:val="28"/>
          <w:szCs w:val="28"/>
        </w:rPr>
        <w:t xml:space="preserve">95</w:t>
      </w:r>
      <w:r>
        <w:rPr>
          <w:rFonts w:ascii="Times New Roman" w:hAnsi="Times New Roman" w:cs="Times New Roman"/>
          <w:sz w:val="28"/>
          <w:szCs w:val="28"/>
        </w:rPr>
        <w:t xml:space="preserve">% земельных участков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851"/>
        <w:jc w:val="both"/>
        <w:spacing w:before="0" w:beforeAutospacing="0" w:after="0" w:afterAutospacing="0"/>
        <w:rPr>
          <w:color w:val="292c2f"/>
          <w:sz w:val="28"/>
          <w:szCs w:val="28"/>
        </w:rPr>
      </w:pPr>
      <w:r>
        <w:rPr>
          <w:color w:val="292c2f"/>
          <w:sz w:val="28"/>
          <w:szCs w:val="28"/>
        </w:rPr>
      </w:r>
      <w:r>
        <w:rPr>
          <w:color w:val="292c2f"/>
          <w:sz w:val="28"/>
          <w:szCs w:val="28"/>
        </w:rPr>
      </w:r>
      <w:r>
        <w:rPr>
          <w:color w:val="292c2f"/>
          <w:sz w:val="28"/>
          <w:szCs w:val="28"/>
        </w:rPr>
      </w:r>
    </w:p>
    <w:p>
      <w:pPr>
        <w:pStyle w:val="833"/>
        <w:jc w:val="right"/>
        <w:spacing w:line="240" w:lineRule="auto"/>
        <w:rPr>
          <w:rFonts w:ascii="Segoe UI" w:hAnsi="Segoe UI" w:eastAsia="Quattrocento Sans" w:cs="Segoe UI"/>
          <w:b/>
          <w:i/>
          <w:color w:val="000000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</w:rPr>
        <w:t xml:space="preserve">Управлением Росреестра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33"/>
        <w:jc w:val="right"/>
        <w:spacing w:line="240" w:lineRule="auto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  <w:t xml:space="preserve">по Новосибирской области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  <w:r/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eastAsia="Quattrocento Sans" w:cs="Segoe UI"/>
          <w:b/>
          <w:i/>
          <w:color w:val="000000"/>
        </w:rPr>
      </w:r>
      <w:r/>
      <w:r/>
      <w:r>
        <w:rPr>
          <w:rFonts w:ascii="Segoe UI" w:hAnsi="Segoe UI" w:eastAsia="Quattrocento Sans" w:cs="Segoe UI"/>
          <w:b/>
          <w:i/>
          <w:color w:val="000000"/>
        </w:rPr>
      </w:r>
      <w:r>
        <w:rPr>
          <w:color w:val="292c2f"/>
          <w:sz w:val="28"/>
          <w:szCs w:val="28"/>
          <w:highlight w:val="none"/>
        </w:rPr>
      </w:r>
      <w:r>
        <w:rPr>
          <w:color w:val="292c2f"/>
          <w:sz w:val="28"/>
          <w:szCs w:val="28"/>
          <w:highlight w:val="none"/>
        </w:rPr>
      </w:r>
      <w:r>
        <w:rPr>
          <w:color w:val="292c2f"/>
          <w:sz w:val="28"/>
          <w:szCs w:val="28"/>
          <w:highlight w:val="none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Quattrocento Sans">
    <w:panose1 w:val="02000603000000000000"/>
  </w:font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3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3"/>
    <w:next w:val="833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4"/>
    <w:link w:val="676"/>
    <w:uiPriority w:val="10"/>
    <w:rPr>
      <w:sz w:val="48"/>
      <w:szCs w:val="48"/>
    </w:rPr>
  </w:style>
  <w:style w:type="paragraph" w:styleId="678">
    <w:name w:val="Subtitle"/>
    <w:basedOn w:val="833"/>
    <w:next w:val="833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4"/>
    <w:link w:val="678"/>
    <w:uiPriority w:val="11"/>
    <w:rPr>
      <w:sz w:val="24"/>
      <w:szCs w:val="24"/>
    </w:rPr>
  </w:style>
  <w:style w:type="paragraph" w:styleId="680">
    <w:name w:val="Quote"/>
    <w:basedOn w:val="833"/>
    <w:next w:val="833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3"/>
    <w:next w:val="833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3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4"/>
    <w:link w:val="684"/>
    <w:uiPriority w:val="99"/>
  </w:style>
  <w:style w:type="paragraph" w:styleId="686">
    <w:name w:val="Footer"/>
    <w:basedOn w:val="833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4"/>
    <w:link w:val="686"/>
    <w:uiPriority w:val="99"/>
  </w:style>
  <w:style w:type="paragraph" w:styleId="688">
    <w:name w:val="Caption"/>
    <w:basedOn w:val="833"/>
    <w:next w:val="833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Normal (Web)"/>
    <w:basedOn w:val="83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838">
    <w:name w:val="Hyperlink"/>
    <w:basedOn w:val="834"/>
    <w:uiPriority w:val="99"/>
    <w:semiHidden/>
    <w:unhideWhenUsed/>
    <w:rPr>
      <w:color w:val="0000ff"/>
      <w:u w:val="single"/>
    </w:rPr>
  </w:style>
  <w:style w:type="character" w:styleId="839">
    <w:name w:val="Strong"/>
    <w:basedOn w:val="834"/>
    <w:uiPriority w:val="22"/>
    <w:qFormat/>
    <w:rPr>
      <w:b/>
      <w:bCs/>
    </w:rPr>
  </w:style>
  <w:style w:type="paragraph" w:styleId="840">
    <w:name w:val="Balloon Text"/>
    <w:basedOn w:val="833"/>
    <w:link w:val="84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1" w:customStyle="1">
    <w:name w:val="Текст выноски Знак"/>
    <w:basedOn w:val="834"/>
    <w:link w:val="840"/>
    <w:uiPriority w:val="99"/>
    <w:semiHidden/>
    <w:rPr>
      <w:rFonts w:ascii="Segoe UI" w:hAnsi="Segoe UI" w:cs="Segoe UI"/>
      <w:sz w:val="18"/>
      <w:szCs w:val="18"/>
    </w:rPr>
  </w:style>
  <w:style w:type="character" w:styleId="842" w:customStyle="1">
    <w:name w:val="Гиперссылка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2026-03-20T02:29:00Z</dcterms:created>
  <dcterms:modified xsi:type="dcterms:W3CDTF">2026-03-23T02:59:38Z</dcterms:modified>
</cp:coreProperties>
</file>