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cs="Calibri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8367" cy="749300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18519" t="24634" r="12819" b="33795"/>
                        <a:stretch/>
                      </pic:blipFill>
                      <pic:spPr bwMode="auto">
                        <a:xfrm>
                          <a:off x="0" y="0"/>
                          <a:ext cx="1782364" cy="7638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67pt;height:59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cs="Calibri"/>
        </w:rPr>
      </w:r>
      <w:r>
        <w:rPr>
          <w:rFonts w:cs="Calibri"/>
        </w:rPr>
      </w:r>
    </w:p>
    <w:p>
      <w:pPr>
        <w:ind w:firstLine="709"/>
        <w:jc w:val="right"/>
        <w:rPr>
          <w:rFonts w:ascii="Segoe UI" w:hAnsi="Segoe UI" w:cs="Segoe UI"/>
          <w:b/>
          <w:color w:val="009aff"/>
          <w:sz w:val="28"/>
        </w:rPr>
      </w:pPr>
      <w:r>
        <w:rPr>
          <w:rFonts w:ascii="Segoe UI" w:hAnsi="Segoe UI" w:cs="Segoe UI"/>
          <w:b/>
          <w:color w:val="009aff"/>
          <w:sz w:val="28"/>
        </w:rPr>
        <w:t xml:space="preserve">Росреестр разъясняет</w:t>
      </w:r>
      <w:r>
        <w:rPr>
          <w:rFonts w:ascii="Segoe UI" w:hAnsi="Segoe UI" w:cs="Segoe UI"/>
          <w:b/>
          <w:color w:val="009aff"/>
          <w:sz w:val="28"/>
        </w:rPr>
      </w:r>
      <w:r>
        <w:rPr>
          <w:rFonts w:ascii="Segoe UI" w:hAnsi="Segoe UI" w:cs="Segoe UI"/>
          <w:b/>
          <w:color w:val="009aff"/>
          <w:sz w:val="28"/>
        </w:rPr>
      </w:r>
    </w:p>
    <w:p>
      <w:pPr>
        <w:ind w:firstLine="709"/>
        <w:jc w:val="both"/>
        <w:spacing w:line="360" w:lineRule="auto"/>
      </w:pPr>
      <w:r/>
      <w:r/>
    </w:p>
    <w:p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Больше 600 домовладений новосибирцев планируют газифицировать в 2025 году</w:t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 2024 года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садовод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региона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могут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бесплатно подвести газ к границам своего земельного участка в рамках программы догазификации садовых некоммерческих товариществ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(СНТ)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Новосибирский Росреестр в рамках своих компетенций взаимодействует с органами власти, органами местного самоуправления и региональным оператор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 газификации с целью успешной реализации программы.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«В рамках программы социальной газификации новосибирским Росреестром оформлена </w:t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  <w:t xml:space="preserve">1 181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 сеть газораспределения»,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- сообщила заместитель руководителя Управления Росреестра по Новосибирской области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Наталья Ивчатова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Важно отметить, что для подведения газа к участку необходимо выполнить ряд условий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первое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из которых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расположение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СНТ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границах газифицированного населенного пункта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В Новосибирской области выполняется работа по догазификации СНТ, расположенных на территории уже газифицированных населенных пунктов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 С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формирован пообъектный план-график догазификации д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омовладений в СНТ, который утвержден в рамках региональной программы газификации жилищно-коммунального хозяйства, промышленных и иных организаций на территории Новосибирской области 5 ноября 2024 года. План-график предусматривает создание технической возмо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жности подключения до 2030 года для 8 054 домовладений в 236 СНТ. В 2025 году начнется работа по догазификации 663 домовладений на территории 22 СНТ, расположенных на территории дачного поселка Мочище Новосибирского района, Бердска, Искитима и Новосибирска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», – сообщил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заместитель начальника отдела энергетики и газификации министерства ЖКХ и энергетики Новосибирской области Дмитрий Сапожков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Актуализированный план-график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догазификации СНТ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размещен на региональной вкладке официального </w:t>
      </w:r>
      <w:hyperlink r:id="rId12" w:tooltip="https://rosreestr.gov.ru/open-service/statistika-i-analitika/informatsiya-ob-snt-popadayushchikh-v-programmu-gazifikatsii/" w:history="1">
        <w:r>
          <w:rPr>
            <w:rStyle w:val="862"/>
            <w:rFonts w:ascii="PT Astra Serif" w:hAnsi="PT Astra Serif" w:eastAsia="PT Astra Serif" w:cs="PT Astra Serif"/>
            <w:sz w:val="28"/>
            <w:szCs w:val="28"/>
          </w:rPr>
          <w:t xml:space="preserve">сайт</w:t>
        </w:r>
        <w:r>
          <w:rPr>
            <w:rStyle w:val="862"/>
            <w:rFonts w:ascii="PT Astra Serif" w:hAnsi="PT Astra Serif" w:eastAsia="PT Astra Serif" w:cs="PT Astra Serif"/>
            <w:sz w:val="28"/>
            <w:szCs w:val="28"/>
          </w:rPr>
          <w:t xml:space="preserve">а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Росреестра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на </w:t>
      </w:r>
      <w:hyperlink r:id="rId13" w:tooltip="https://mjkh.nso.ru/page/6952" w:history="1">
        <w:r>
          <w:rPr>
            <w:rStyle w:val="862"/>
            <w:rFonts w:ascii="PT Astra Serif" w:hAnsi="PT Astra Serif" w:eastAsia="PT Astra Serif" w:cs="PT Astra Serif"/>
            <w:sz w:val="28"/>
            <w:szCs w:val="28"/>
          </w:rPr>
          <w:t xml:space="preserve">сайте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ЖКХ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энергетики Новосибирской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Каждый может узнать, входит ли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его домовладение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перечень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объектов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а также о сроках запланированных работ.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ешение 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включении в программу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принимается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общем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собрани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членов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товарищества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Заявку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могут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подать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собственники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самостоятельно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тави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тель СНТ с приложением протокола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общего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собрания.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Для заключения договора о техническом присоединении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заявителю нужно приложить к заявке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схем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 указанием расположения планируемого к подключению дома и границы участка, на котором он расположен. Кроме того,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сведения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жилой дом и земельный участок должны быть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внесены в Единый государственный реестр недвижимости (ЕГРН)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что подтверждается соответствующими выписками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Возможность подключиться к газу есть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только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жилы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– капитальны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строени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пригодны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для постоянного проживания.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случае если дом имеет статус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садов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ый»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может понадобиться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процедур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признания дома жилым.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Решение о признании садового дома жилым принимает администрация населенного пункта, в границах которого расположен дом.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Если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прав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земельн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ый участок не зарегистрированы,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 1 марта 2031 года члены СНТ могут бесплатно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оформить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находящийся в государственной или муниципальной собственности участок без проведения торгов.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Информацию о наличии или отсутствии сведений о регистрации прав на дом и земельный участок можно получить с помощью выписки из ЕГРН. Запросить документ можно на </w:t>
      </w:r>
      <w:hyperlink r:id="rId14" w:tooltip="https://www.gosuslugi.ru/" w:history="1">
        <w:r>
          <w:rPr>
            <w:rStyle w:val="862"/>
            <w:rFonts w:ascii="PT Astra Serif" w:hAnsi="PT Astra Serif" w:eastAsia="PT Astra Serif" w:cs="PT Astra Serif"/>
            <w:sz w:val="28"/>
            <w:szCs w:val="28"/>
          </w:rPr>
          <w:t xml:space="preserve">портале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Госуслуг, в офисах </w:t>
      </w:r>
      <w:hyperlink r:id="rId15" w:tooltip="https://www.mfc-nso.ru/" w:history="1">
        <w:r>
          <w:rPr>
            <w:rStyle w:val="862"/>
            <w:rFonts w:ascii="PT Astra Serif" w:hAnsi="PT Astra Serif" w:eastAsia="PT Astra Serif" w:cs="PT Astra Serif"/>
            <w:sz w:val="28"/>
            <w:szCs w:val="28"/>
          </w:rPr>
          <w:t xml:space="preserve">МФЦ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или в региональном </w:t>
      </w:r>
      <w:hyperlink r:id="rId16" w:tooltip="https://kadastr.ru/services/vyezdnoe-obsluzhivanie/" w:history="1">
        <w:r>
          <w:rPr>
            <w:rStyle w:val="862"/>
            <w:rFonts w:ascii="PT Astra Serif" w:hAnsi="PT Astra Serif" w:eastAsia="PT Astra Serif" w:cs="PT Astra Serif"/>
            <w:sz w:val="28"/>
            <w:szCs w:val="28"/>
          </w:rPr>
          <w:t xml:space="preserve">Роскадастре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Напомним, в 2021 году был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запущена программа социальной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газификации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возможность бесплат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 провести газ до границ своих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участков в населенных пу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нктах, расположенных в сельской местности.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2024 году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участниками программы социальной газификации стали владельцы участков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СНТ.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Росреестр разработал </w:t>
      </w:r>
      <w:hyperlink r:id="rId17" w:tooltip="https://rosreestr.gov.ru/upload/Doc/informatsiya/%D0%A8%D0%B0%D0%B3%D0%B8_%D0%B4%D0%BB%D1%8F_%D0%B4%D0%BE%D0%B3%D0%B0%D0%B7%D0%B8%D1%84%D0%B8%D0%BA%D0%B0%D1%86%D0%B8%D0%B8_%D0%B6%D0%B8%D0%BB%D1%8B%D1%85_%D0%B4%D0%BE%D0%BC%D0%BE%D0%B2_%D0%B2_%D0%A1%D0%9D%D0%A2.pdf" w:history="1">
        <w:r>
          <w:rPr>
            <w:rStyle w:val="862"/>
            <w:rFonts w:ascii="PT Astra Serif" w:hAnsi="PT Astra Serif" w:eastAsia="PT Astra Serif" w:cs="PT Astra Serif"/>
            <w:sz w:val="28"/>
            <w:szCs w:val="28"/>
          </w:rPr>
          <w:t xml:space="preserve">путеводитель для садоводов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, в которых в простой и доступной форме разъяснена процедура участия в программе.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Segoe UI" w:hAnsi="Segoe UI" w:cs="Segoe UI"/>
          <w:sz w:val="28"/>
          <w:szCs w:val="28"/>
        </w:rPr>
      </w:pPr>
      <w:r/>
      <w:bookmarkStart w:id="0" w:name="_GoBack"/>
      <w:r/>
      <w:bookmarkEnd w:id="0"/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filled="f" strokecolor="#0070C0" strokeweight="0.75pt"/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</w:t>
      </w:r>
      <w:r>
        <w:rPr>
          <w:rFonts w:ascii="Segoe UI" w:hAnsi="Segoe UI" w:cs="Segoe UI"/>
          <w:sz w:val="18"/>
          <w:szCs w:val="18"/>
        </w:rPr>
        <w:t xml:space="preserve">Рягузова</w:t>
      </w:r>
      <w:r>
        <w:rPr>
          <w:rFonts w:ascii="Segoe UI" w:hAnsi="Segoe UI" w:cs="Segoe UI"/>
          <w:sz w:val="18"/>
          <w:szCs w:val="18"/>
        </w:rPr>
        <w:t xml:space="preserve">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jc w:val="both"/>
        <w:rPr>
          <w:rFonts w:ascii="Segoe UI" w:hAnsi="Segoe UI" w:cs="Segoe UI"/>
          <w:color w:val="000000"/>
          <w:sz w:val="16"/>
          <w:szCs w:val="18"/>
        </w:rPr>
      </w:pPr>
      <w:r/>
      <w:hyperlink r:id="rId18" w:tooltip="mailto:oko@r54.rosreestr.ru" w:history="1">
        <w:r>
          <w:rPr>
            <w:rStyle w:val="862"/>
            <w:rFonts w:ascii="Segoe UI" w:hAnsi="Segoe UI" w:cs="Segoe UI"/>
            <w:sz w:val="18"/>
            <w:szCs w:val="20"/>
          </w:rPr>
          <w:t xml:space="preserve">oko@r</w:t>
        </w:r>
        <w:r>
          <w:rPr>
            <w:rStyle w:val="862"/>
            <w:rFonts w:ascii="Segoe UI" w:hAnsi="Segoe UI" w:cs="Segoe UI"/>
            <w:sz w:val="18"/>
            <w:szCs w:val="20"/>
          </w:rPr>
          <w:t xml:space="preserve">54</w:t>
        </w:r>
        <w:r>
          <w:rPr>
            <w:rStyle w:val="862"/>
            <w:rFonts w:ascii="Segoe UI" w:hAnsi="Segoe UI" w:cs="Segoe UI"/>
            <w:sz w:val="18"/>
            <w:szCs w:val="20"/>
          </w:rPr>
          <w:t xml:space="preserve">.rosreestr.ru</w:t>
        </w:r>
      </w:hyperlink>
      <w:r>
        <w:rPr>
          <w:rFonts w:ascii="Segoe UI" w:hAnsi="Segoe UI" w:cs="Segoe UI"/>
          <w:color w:val="000000"/>
          <w:sz w:val="16"/>
          <w:szCs w:val="18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9" w:tooltip="https://rosreestr.gov.ru/" w:history="1">
        <w:r>
          <w:rPr>
            <w:rFonts w:ascii="Segoe UI" w:hAnsi="Segoe UI" w:cs="Segoe UI"/>
            <w:color w:val="0000ff"/>
            <w:sz w:val="20"/>
            <w:szCs w:val="20"/>
            <w:u w:val="single"/>
          </w:rPr>
          <w:t xml:space="preserve">Росреестр</w:t>
        </w:r>
      </w:hyperlink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</w:t>
      </w:r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20" w:tooltip="https://vk.com/rosreestr_nsk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 xml:space="preserve"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21" w:tooltip="https://ok.ru/group/70000000987860" w:history="1">
        <w:r>
          <w:rPr>
            <w:rStyle w:val="862"/>
            <w:rFonts w:ascii="Segoe UI" w:hAnsi="Segoe UI" w:cs="Segoe UI"/>
            <w:sz w:val="18"/>
            <w:szCs w:val="18"/>
          </w:rPr>
          <w:t xml:space="preserve">Одноклассники</w:t>
        </w:r>
      </w:hyperlink>
      <w:r>
        <w:rPr>
          <w:rStyle w:val="862"/>
          <w:rFonts w:ascii="Segoe UI" w:hAnsi="Segoe UI" w:cs="Segoe UI"/>
          <w:sz w:val="18"/>
          <w:szCs w:val="18"/>
        </w:rPr>
        <w:t xml:space="preserve">, </w:t>
      </w:r>
      <w:hyperlink r:id="rId22" w:tooltip="https://dzen.ru/rosreestr_nsk" w:history="1">
        <w:r>
          <w:rPr>
            <w:rStyle w:val="862"/>
            <w:rFonts w:ascii="Segoe UI" w:hAnsi="Segoe UI" w:cs="Segoe UI"/>
            <w:sz w:val="20"/>
            <w:szCs w:val="20"/>
          </w:rPr>
          <w:t xml:space="preserve">Яндекс</w:t>
        </w:r>
        <w:r>
          <w:rPr>
            <w:rStyle w:val="862"/>
            <w:rFonts w:ascii="Segoe UI" w:hAnsi="Segoe UI" w:cs="Segoe UI"/>
            <w:sz w:val="20"/>
            <w:szCs w:val="20"/>
          </w:rPr>
          <w:t xml:space="preserve">.</w:t>
        </w:r>
        <w:r>
          <w:rPr>
            <w:rStyle w:val="862"/>
            <w:rFonts w:ascii="Segoe UI" w:hAnsi="Segoe UI" w:cs="Segoe UI"/>
            <w:sz w:val="20"/>
            <w:szCs w:val="20"/>
          </w:rPr>
          <w:t xml:space="preserve">Дзен</w:t>
        </w:r>
      </w:hyperlink>
      <w:r>
        <w:rPr>
          <w:rStyle w:val="862"/>
          <w:rFonts w:ascii="Segoe UI" w:hAnsi="Segoe UI" w:cs="Segoe UI"/>
          <w:sz w:val="20"/>
          <w:szCs w:val="20"/>
        </w:rPr>
        <w:t xml:space="preserve">, </w:t>
      </w:r>
      <w:hyperlink r:id="rId23" w:tooltip="https://t.me/rosreestr_nsk" w:history="1">
        <w:r>
          <w:rPr>
            <w:rStyle w:val="862"/>
            <w:rFonts w:ascii="Segoe UI" w:hAnsi="Segoe UI" w:cs="Segoe UI"/>
            <w:sz w:val="20"/>
          </w:rPr>
          <w:t xml:space="preserve">Телеграм</w:t>
        </w:r>
      </w:hyperlink>
      <w:r>
        <w:rPr>
          <w:rFonts w:ascii="Segoe UI" w:hAnsi="Segoe UI" w:cs="Segoe UI"/>
          <w:b/>
          <w:sz w:val="20"/>
        </w:rPr>
        <w:t xml:space="preserve"> </w:t>
      </w:r>
      <w:r>
        <w:rPr>
          <w:rFonts w:ascii="Segoe UI" w:hAnsi="Segoe UI" w:cs="Segoe UI"/>
          <w:b/>
          <w:sz w:val="20"/>
        </w:rPr>
      </w:r>
      <w:r>
        <w:rPr>
          <w:rFonts w:ascii="Segoe UI" w:hAnsi="Segoe UI" w:cs="Segoe UI"/>
          <w:b/>
          <w:sz w:val="20"/>
        </w:rPr>
      </w:r>
    </w:p>
    <w:p>
      <w:pPr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0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90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236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  <w:tabs>
          <w:tab w:val="num" w:pos="4320" w:leader="none"/>
        </w:tabs>
      </w:pPr>
      <w:rPr>
        <w:rFonts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  <w:tabs>
          <w:tab w:val="num" w:pos="6480" w:leader="none"/>
        </w:tabs>
      </w:pPr>
      <w:rPr>
        <w:rFonts w:ascii="Times New Roman" w:hAnsi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5"/>
    <w:link w:val="853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2"/>
    <w:next w:val="852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5"/>
    <w:link w:val="683"/>
    <w:uiPriority w:val="9"/>
    <w:rPr>
      <w:rFonts w:ascii="Arial" w:hAnsi="Arial" w:eastAsia="Arial" w:cs="Arial"/>
      <w:sz w:val="34"/>
    </w:rPr>
  </w:style>
  <w:style w:type="character" w:styleId="685">
    <w:name w:val="Heading 3 Char"/>
    <w:basedOn w:val="855"/>
    <w:link w:val="85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5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5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5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5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2"/>
    <w:next w:val="852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5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2"/>
    <w:next w:val="852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5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5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5"/>
    <w:link w:val="876"/>
    <w:uiPriority w:val="99"/>
  </w:style>
  <w:style w:type="character" w:styleId="707">
    <w:name w:val="Footer Char"/>
    <w:basedOn w:val="855"/>
    <w:link w:val="878"/>
    <w:uiPriority w:val="99"/>
  </w:style>
  <w:style w:type="paragraph" w:styleId="708">
    <w:name w:val="Caption"/>
    <w:basedOn w:val="852"/>
    <w:next w:val="852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55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5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5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rPr>
      <w:sz w:val="24"/>
      <w:szCs w:val="24"/>
    </w:rPr>
  </w:style>
  <w:style w:type="paragraph" w:styleId="853">
    <w:name w:val="Heading 1"/>
    <w:basedOn w:val="852"/>
    <w:next w:val="852"/>
    <w:link w:val="871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54">
    <w:name w:val="Heading 3"/>
    <w:basedOn w:val="852"/>
    <w:next w:val="852"/>
    <w:link w:val="88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customStyle="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basedOn w:val="852"/>
    <w:link w:val="869"/>
    <w:pPr>
      <w:spacing w:before="100" w:beforeAutospacing="1" w:after="100" w:afterAutospacing="1"/>
    </w:pPr>
    <w:rPr>
      <w:lang w:val="en-US" w:eastAsia="en-US"/>
    </w:rPr>
  </w:style>
  <w:style w:type="table" w:styleId="859">
    <w:name w:val="Table Grid"/>
    <w:basedOn w:val="856"/>
    <w:tblPr/>
  </w:style>
  <w:style w:type="character" w:styleId="860">
    <w:name w:val="Strong"/>
    <w:uiPriority w:val="22"/>
    <w:qFormat/>
    <w:rPr>
      <w:b/>
      <w:bCs/>
    </w:rPr>
  </w:style>
  <w:style w:type="character" w:styleId="861" w:customStyle="1">
    <w:name w:val="apple-converted-space"/>
    <w:basedOn w:val="855"/>
  </w:style>
  <w:style w:type="character" w:styleId="862">
    <w:name w:val="Hyperlink"/>
    <w:unhideWhenUsed/>
    <w:rPr>
      <w:color w:val="0000ff"/>
      <w:u w:val="single"/>
    </w:rPr>
  </w:style>
  <w:style w:type="character" w:styleId="863">
    <w:name w:val="Emphasis"/>
    <w:uiPriority w:val="20"/>
    <w:qFormat/>
    <w:rPr>
      <w:i/>
      <w:iCs/>
    </w:rPr>
  </w:style>
  <w:style w:type="paragraph" w:styleId="864">
    <w:name w:val="Body Text"/>
    <w:basedOn w:val="852"/>
    <w:link w:val="865"/>
    <w:uiPriority w:val="99"/>
    <w:unhideWhenUsed/>
    <w:pPr>
      <w:spacing w:after="120"/>
    </w:pPr>
    <w:rPr>
      <w:lang w:val="en-US" w:eastAsia="en-US"/>
    </w:rPr>
  </w:style>
  <w:style w:type="character" w:styleId="865" w:customStyle="1">
    <w:name w:val="Основной текст Знак"/>
    <w:link w:val="864"/>
    <w:uiPriority w:val="99"/>
    <w:rPr>
      <w:sz w:val="24"/>
      <w:szCs w:val="24"/>
      <w:lang w:val="en-US" w:eastAsia="en-US"/>
    </w:rPr>
  </w:style>
  <w:style w:type="paragraph" w:styleId="866">
    <w:name w:val="List Paragraph"/>
    <w:basedOn w:val="852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/>
      <w:sz w:val="22"/>
      <w:szCs w:val="22"/>
      <w:lang w:eastAsia="en-US"/>
    </w:rPr>
  </w:style>
  <w:style w:type="paragraph" w:styleId="867">
    <w:name w:val="Body Text Indent"/>
    <w:basedOn w:val="852"/>
    <w:link w:val="868"/>
    <w:pPr>
      <w:ind w:left="283"/>
      <w:spacing w:after="120"/>
    </w:pPr>
    <w:rPr>
      <w:lang w:val="en-US" w:eastAsia="en-US"/>
    </w:rPr>
  </w:style>
  <w:style w:type="character" w:styleId="868" w:customStyle="1">
    <w:name w:val="Основной текст с отступом Знак"/>
    <w:link w:val="867"/>
    <w:rPr>
      <w:sz w:val="24"/>
      <w:szCs w:val="24"/>
    </w:rPr>
  </w:style>
  <w:style w:type="character" w:styleId="869" w:customStyle="1">
    <w:name w:val="Обычный (веб) Знак3;Обычный (веб)1 Знак;Обычный (веб) Знак Знак2;Обычный (веб) Знак1 Знак1;Обычный (веб) Знак Знак Знак1;Обычный (Web) Знак;Обычный (Web) Знак Знак Знак Знак;Обычный (Web)1 Знак;Обычный (веб) Знак Знак Знак Знак;Обычный (веб) Знак2 Знак"/>
    <w:link w:val="858"/>
    <w:rPr>
      <w:sz w:val="24"/>
      <w:szCs w:val="24"/>
    </w:rPr>
  </w:style>
  <w:style w:type="character" w:styleId="870" w:customStyle="1">
    <w:name w:val="blk"/>
  </w:style>
  <w:style w:type="character" w:styleId="871" w:customStyle="1">
    <w:name w:val="Заголовок 1 Знак"/>
    <w:link w:val="853"/>
    <w:rPr>
      <w:rFonts w:ascii="Cambria" w:hAnsi="Cambria"/>
      <w:b/>
      <w:bCs/>
      <w:sz w:val="32"/>
      <w:szCs w:val="32"/>
      <w:lang w:val="en-US" w:eastAsia="en-US"/>
    </w:rPr>
  </w:style>
  <w:style w:type="paragraph" w:styleId="872">
    <w:name w:val="No Spacing"/>
    <w:uiPriority w:val="1"/>
    <w:qFormat/>
    <w:rPr>
      <w:sz w:val="24"/>
      <w:szCs w:val="24"/>
    </w:rPr>
  </w:style>
  <w:style w:type="character" w:styleId="873" w:customStyle="1">
    <w:name w:val="Основной текст1"/>
    <w:rPr>
      <w:rFonts w:ascii="Times New Roman" w:hAnsi="Times New Roman" w:eastAsia="Times New Roman" w:cs="Times New Roman"/>
      <w:color w:val="000000"/>
      <w:spacing w:val="2"/>
      <w:position w:val="0"/>
      <w:sz w:val="24"/>
      <w:szCs w:val="24"/>
      <w:u w:val="none"/>
      <w:shd w:val="clear" w:color="auto" w:fill="ffffff"/>
      <w:lang w:val="ru-RU"/>
    </w:rPr>
  </w:style>
  <w:style w:type="paragraph" w:styleId="874" w:customStyle="1">
    <w:name w:val="Основной текст2"/>
    <w:basedOn w:val="852"/>
    <w:pPr>
      <w:jc w:val="both"/>
      <w:spacing w:after="960" w:line="317" w:lineRule="exact"/>
      <w:shd w:val="clear" w:color="auto" w:fill="ffffff"/>
      <w:widowControl w:val="off"/>
    </w:pPr>
    <w:rPr>
      <w:color w:val="000000"/>
      <w:spacing w:val="2"/>
    </w:rPr>
  </w:style>
  <w:style w:type="paragraph" w:styleId="875" w:customStyle="1">
    <w:name w:val="ConsPlusNormal"/>
    <w:link w:val="885"/>
    <w:pPr>
      <w:widowControl w:val="off"/>
    </w:pPr>
    <w:rPr>
      <w:rFonts w:ascii="Calibri" w:hAnsi="Calibri"/>
      <w:sz w:val="22"/>
    </w:rPr>
  </w:style>
  <w:style w:type="paragraph" w:styleId="876">
    <w:name w:val="Header"/>
    <w:basedOn w:val="852"/>
    <w:link w:val="87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7" w:customStyle="1">
    <w:name w:val="Верхний колонтитул Знак"/>
    <w:link w:val="876"/>
    <w:uiPriority w:val="99"/>
    <w:rPr>
      <w:sz w:val="24"/>
      <w:szCs w:val="24"/>
    </w:rPr>
  </w:style>
  <w:style w:type="paragraph" w:styleId="878">
    <w:name w:val="Footer"/>
    <w:basedOn w:val="852"/>
    <w:link w:val="87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9" w:customStyle="1">
    <w:name w:val="Нижний колонтитул Знак"/>
    <w:link w:val="878"/>
    <w:rPr>
      <w:sz w:val="24"/>
      <w:szCs w:val="24"/>
    </w:rPr>
  </w:style>
  <w:style w:type="character" w:styleId="880" w:customStyle="1">
    <w:name w:val="Заголовок 3 Знак"/>
    <w:link w:val="854"/>
    <w:rPr>
      <w:rFonts w:ascii="Cambria" w:hAnsi="Cambria" w:eastAsia="Times New Roman" w:cs="Times New Roman"/>
      <w:b/>
      <w:bCs/>
      <w:sz w:val="26"/>
      <w:szCs w:val="26"/>
    </w:rPr>
  </w:style>
  <w:style w:type="paragraph" w:styleId="881">
    <w:name w:val="Balloon Text"/>
    <w:basedOn w:val="852"/>
    <w:link w:val="882"/>
    <w:rPr>
      <w:rFonts w:ascii="Tahoma" w:hAnsi="Tahoma"/>
      <w:sz w:val="16"/>
      <w:szCs w:val="16"/>
      <w:lang w:val="en-US" w:eastAsia="en-US"/>
    </w:rPr>
  </w:style>
  <w:style w:type="character" w:styleId="882" w:customStyle="1">
    <w:name w:val="Текст выноски Знак"/>
    <w:link w:val="881"/>
    <w:rPr>
      <w:rFonts w:ascii="Tahoma" w:hAnsi="Tahoma" w:cs="Tahoma"/>
      <w:sz w:val="16"/>
      <w:szCs w:val="16"/>
    </w:rPr>
  </w:style>
  <w:style w:type="paragraph" w:styleId="883" w:customStyle="1">
    <w:name w:val="rtejustify"/>
    <w:basedOn w:val="852"/>
    <w:pPr>
      <w:spacing w:before="100" w:beforeAutospacing="1" w:after="100" w:afterAutospacing="1"/>
    </w:pPr>
  </w:style>
  <w:style w:type="paragraph" w:styleId="884" w:customStyle="1">
    <w:name w:val="Письма"/>
    <w:basedOn w:val="852"/>
    <w:pPr>
      <w:ind w:firstLine="709"/>
      <w:jc w:val="both"/>
    </w:pPr>
    <w:rPr>
      <w:sz w:val="28"/>
      <w:szCs w:val="28"/>
    </w:rPr>
  </w:style>
  <w:style w:type="character" w:styleId="885" w:customStyle="1">
    <w:name w:val="ConsPlusNormal Знак"/>
    <w:link w:val="875"/>
    <w:rPr>
      <w:rFonts w:ascii="Calibri" w:hAnsi="Calibri"/>
      <w:sz w:val="22"/>
      <w:lang w:bidi="ar-SA"/>
    </w:rPr>
  </w:style>
  <w:style w:type="character" w:styleId="886" w:customStyle="1">
    <w:name w:val="matching-text-highlight"/>
    <w:basedOn w:val="855"/>
  </w:style>
  <w:style w:type="paragraph" w:styleId="887">
    <w:name w:val="Normal (Web)"/>
    <w:basedOn w:val="852"/>
    <w:uiPriority w:val="99"/>
    <w:unhideWhenUsed/>
    <w:pPr>
      <w:spacing w:before="100" w:beforeAutospacing="1" w:after="100" w:afterAutospacing="1"/>
    </w:pPr>
  </w:style>
  <w:style w:type="character" w:styleId="888">
    <w:name w:val="FollowedHyperlink"/>
    <w:basedOn w:val="855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rosreestr.gov.ru/open-service/statistika-i-analitika/informatsiya-ob-snt-popadayushchikh-v-programmu-gazifikatsii/" TargetMode="External"/><Relationship Id="rId13" Type="http://schemas.openxmlformats.org/officeDocument/2006/relationships/hyperlink" Target="https://mjkh.nso.ru/page/6952" TargetMode="External"/><Relationship Id="rId14" Type="http://schemas.openxmlformats.org/officeDocument/2006/relationships/hyperlink" Target="https://www.gosuslugi.ru/" TargetMode="External"/><Relationship Id="rId15" Type="http://schemas.openxmlformats.org/officeDocument/2006/relationships/hyperlink" Target="https://www.mfc-nso.ru/" TargetMode="External"/><Relationship Id="rId16" Type="http://schemas.openxmlformats.org/officeDocument/2006/relationships/hyperlink" Target="https://kadastr.ru/services/vyezdnoe-obsluzhivanie/" TargetMode="External"/><Relationship Id="rId17" Type="http://schemas.openxmlformats.org/officeDocument/2006/relationships/hyperlink" Target="https://rosreestr.gov.ru/upload/Doc/informatsiya/%D0%A8%D0%B0%D0%B3%D0%B8_%D0%B4%D0%BB%D1%8F_%D0%B4%D0%BE%D0%B3%D0%B0%D0%B7%D0%B8%D1%84%D0%B8%D0%BA%D0%B0%D1%86%D0%B8%D0%B8_%D0%B6%D0%B8%D0%BB%D1%8B%D1%85_%D0%B4%D0%BE%D0%BC%D0%BE%D0%B2_%D0%B2_%D0%A1%D0%9D%D0%A2.pdf" TargetMode="External"/><Relationship Id="rId18" Type="http://schemas.openxmlformats.org/officeDocument/2006/relationships/hyperlink" Target="mailto:oko@r54.rosreestr.ru" TargetMode="External"/><Relationship Id="rId19" Type="http://schemas.openxmlformats.org/officeDocument/2006/relationships/hyperlink" Target="https://rosreestr.gov.ru/" TargetMode="External"/><Relationship Id="rId20" Type="http://schemas.openxmlformats.org/officeDocument/2006/relationships/hyperlink" Target="https://vk.com/rosreestr_nsk" TargetMode="External"/><Relationship Id="rId21" Type="http://schemas.openxmlformats.org/officeDocument/2006/relationships/hyperlink" Target="https://ok.ru/group/70000000987860" TargetMode="External"/><Relationship Id="rId22" Type="http://schemas.openxmlformats.org/officeDocument/2006/relationships/hyperlink" Target="https://dzen.ru/rosreestr_nsk" TargetMode="External"/><Relationship Id="rId23" Type="http://schemas.openxmlformats.org/officeDocument/2006/relationships/hyperlink" Target="https://t.me/rosreestr_ns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828C7-5810-43B0-9F70-B7CDC0A6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dc:title>
  <dc:subject/>
  <dc:creator>kme</dc:creator>
  <cp:keywords/>
  <dc:description/>
  <cp:lastModifiedBy>user</cp:lastModifiedBy>
  <cp:revision>32</cp:revision>
  <dcterms:created xsi:type="dcterms:W3CDTF">2024-12-25T01:48:00Z</dcterms:created>
  <dcterms:modified xsi:type="dcterms:W3CDTF">2025-11-24T04:06:47Z</dcterms:modified>
  <cp:version>786432</cp:version>
</cp:coreProperties>
</file>