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 начислении платы и перерасчете за коммунальную услугу «</w:t>
      </w:r>
      <w:r>
        <w:rPr>
          <w:rFonts w:ascii="Times New Roman" w:hAnsi="Times New Roman"/>
        </w:rPr>
        <w:t>отопление»</w:t>
      </w:r>
      <w:r>
        <w:rPr>
          <w:rFonts w:ascii="Times New Roman" w:hAnsi="Times New Roman"/>
        </w:rPr>
        <w:t>.</w:t>
      </w:r>
    </w:p>
    <w:p w14:paraId="02000000">
      <w:pPr>
        <w:rPr>
          <w:rFonts w:ascii="Times New Roman" w:hAnsi="Times New Roman"/>
        </w:rPr>
      </w:pPr>
    </w:p>
    <w:p w14:paraId="03000000">
      <w:pPr>
        <w:ind w:firstLine="567" w:left="0"/>
        <w:rPr>
          <w:rFonts w:ascii="Times New Roman" w:hAnsi="Times New Roman"/>
        </w:rPr>
      </w:pPr>
      <w:r>
        <w:rPr>
          <w:rFonts w:ascii="Times New Roman" w:hAnsi="Times New Roman"/>
        </w:rPr>
        <w:t>Порядок предоставления гражданам коммунальных услуг регулируется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 (д</w:t>
      </w:r>
      <w:r>
        <w:rPr>
          <w:rFonts w:ascii="Times New Roman" w:hAnsi="Times New Roman"/>
        </w:rPr>
        <w:t xml:space="preserve">алее - Правила № 354). </w:t>
      </w:r>
    </w:p>
    <w:p w14:paraId="04000000">
      <w:pPr>
        <w:ind w:firstLine="567" w:left="0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п. 42(1) Правил № 354 оплата коммунальной услуги по отоплению осуществляется одним из двух способов - в течение отопительного периода либо равномерно в течение календарного года. Правительством Новосибирской области</w:t>
      </w:r>
      <w:r>
        <w:rPr>
          <w:rFonts w:ascii="Times New Roman" w:hAnsi="Times New Roman"/>
        </w:rPr>
        <w:t xml:space="preserve"> принято постановление от 14.07.2016 № 211-п, которым установлено, что оплата коммунальной услуги по отоплению на территории Новосибирской области осуществляется равномерно в течение календарного года. </w:t>
      </w:r>
    </w:p>
    <w:p w14:paraId="05000000">
      <w:pPr>
        <w:ind w:firstLine="567" w:left="0"/>
        <w:rPr>
          <w:rFonts w:ascii="Times New Roman" w:hAnsi="Times New Roman"/>
        </w:rPr>
      </w:pPr>
      <w:r>
        <w:rPr>
          <w:rFonts w:ascii="Times New Roman" w:hAnsi="Times New Roman"/>
        </w:rPr>
        <w:t>В силу п. 42(1) Правил № 354, если многоквартирный до</w:t>
      </w:r>
      <w:r>
        <w:rPr>
          <w:rFonts w:ascii="Times New Roman" w:hAnsi="Times New Roman"/>
        </w:rPr>
        <w:t xml:space="preserve">м оборудован </w:t>
      </w:r>
      <w:r>
        <w:rPr>
          <w:rFonts w:ascii="Times New Roman" w:hAnsi="Times New Roman"/>
        </w:rPr>
        <w:t>общедомовым</w:t>
      </w:r>
      <w:r>
        <w:rPr>
          <w:rFonts w:ascii="Times New Roman" w:hAnsi="Times New Roman"/>
        </w:rPr>
        <w:t xml:space="preserve"> прибором учета (далее – ОДПУ) тепловой энергии, размер платы за коммунальную услугу по отоплению определяется исходя из среднемесячного объема потребления тепловой энергии на отопление за предыдущий год (а при отсутствии показаний </w:t>
      </w:r>
      <w:r>
        <w:rPr>
          <w:rFonts w:ascii="Times New Roman" w:hAnsi="Times New Roman"/>
        </w:rPr>
        <w:t>общедомового</w:t>
      </w:r>
      <w:r>
        <w:rPr>
          <w:rFonts w:ascii="Times New Roman" w:hAnsi="Times New Roman"/>
        </w:rPr>
        <w:t xml:space="preserve"> прибора учета за предыдущий год - исходя из норматива потребления коммунальной услуги по отоплению) и начисляется исполнителем коммунальных</w:t>
      </w:r>
      <w:r>
        <w:rPr>
          <w:rFonts w:ascii="Times New Roman" w:hAnsi="Times New Roman"/>
        </w:rPr>
        <w:t xml:space="preserve"> услуг ежемесячно в течение календарного года. </w:t>
      </w:r>
    </w:p>
    <w:p w14:paraId="06000000">
      <w:pPr>
        <w:ind w:firstLine="567" w:left="0"/>
        <w:rPr>
          <w:rFonts w:ascii="Times New Roman" w:hAnsi="Times New Roman"/>
        </w:rPr>
      </w:pPr>
      <w:r>
        <w:rPr>
          <w:rFonts w:ascii="Times New Roman" w:hAnsi="Times New Roman"/>
        </w:rPr>
        <w:t>При этом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исполнитель коммунальных услуг должен производ</w:t>
      </w:r>
      <w:r>
        <w:rPr>
          <w:rFonts w:ascii="Times New Roman" w:hAnsi="Times New Roman"/>
        </w:rPr>
        <w:t xml:space="preserve">ить 1 раз в год корректировку размера платы, в соответствии с показаниями ОДПУ. </w:t>
      </w:r>
    </w:p>
    <w:p w14:paraId="07000000">
      <w:pPr>
        <w:ind w:firstLine="567" w:left="0"/>
        <w:rPr>
          <w:rFonts w:ascii="Times New Roman" w:hAnsi="Times New Roman"/>
        </w:rPr>
      </w:pPr>
      <w:r>
        <w:rPr>
          <w:rFonts w:ascii="Times New Roman" w:hAnsi="Times New Roman"/>
        </w:rPr>
        <w:t>Размер корректировки за коммунальную услугу по отоплению зависит от разницы начисленной суммы, определенной исходя из среднемесячного объема тепловой энергии по отоплению и фа</w:t>
      </w:r>
      <w:r>
        <w:rPr>
          <w:rFonts w:ascii="Times New Roman" w:hAnsi="Times New Roman"/>
        </w:rPr>
        <w:t xml:space="preserve">ктически потребленного объема тепловой энергии по отоплению за предыдущий год. </w:t>
      </w:r>
    </w:p>
    <w:p w14:paraId="08000000">
      <w:pPr>
        <w:ind w:firstLine="567" w:left="0"/>
        <w:rPr>
          <w:rFonts w:ascii="Times New Roman" w:hAnsi="Times New Roman"/>
        </w:rPr>
      </w:pPr>
    </w:p>
    <w:p w14:paraId="09000000">
      <w:pPr>
        <w:ind w:firstLine="567" w:left="0"/>
        <w:rPr>
          <w:rFonts w:ascii="Times New Roman" w:hAnsi="Times New Roman"/>
        </w:rPr>
      </w:pPr>
    </w:p>
    <w:p w14:paraId="0A000000">
      <w:pPr>
        <w:ind w:firstLine="0" w:left="0"/>
        <w:rPr>
          <w:rFonts w:ascii="Times New Roman" w:hAnsi="Times New Roman"/>
        </w:rPr>
      </w:pPr>
      <w:r>
        <w:rPr>
          <w:rFonts w:ascii="Times New Roman" w:hAnsi="Times New Roman"/>
        </w:rPr>
        <w:t>Старший помощник прокурора                                                          Д.А. Макшанцев</w:t>
      </w:r>
    </w:p>
    <w:sectPr>
      <w:pgSz w:h="16838" w:orient="portrait" w:w="11906"/>
      <w:pgMar w:bottom="1134" w:footer="720" w:gutter="0" w:header="720" w:left="1304" w:right="73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ind/>
      <w:jc w:val="both"/>
    </w:pPr>
    <w:rPr>
      <w:sz w:val="28"/>
    </w:rPr>
  </w:style>
  <w:style w:default="1" w:styleId="Style_1_ch" w:type="character">
    <w:name w:val="Normal"/>
    <w:link w:val="Style_1"/>
    <w:rPr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</w:pPr>
    <w:rPr>
      <w:sz w:val="28"/>
    </w:rPr>
  </w:style>
  <w:style w:styleId="Style_2_ch" w:type="character">
    <w:name w:val="toc 2"/>
    <w:link w:val="Style_2"/>
    <w:rPr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</w:pPr>
    <w:rPr>
      <w:sz w:val="28"/>
    </w:rPr>
  </w:style>
  <w:style w:styleId="Style_3_ch" w:type="character">
    <w:name w:val="toc 4"/>
    <w:link w:val="Style_3"/>
    <w:rPr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</w:pPr>
    <w:rPr>
      <w:sz w:val="28"/>
    </w:rPr>
  </w:style>
  <w:style w:styleId="Style_4_ch" w:type="character">
    <w:name w:val="toc 6"/>
    <w:link w:val="Style_4"/>
    <w:rPr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</w:pPr>
    <w:rPr>
      <w:sz w:val="28"/>
    </w:rPr>
  </w:style>
  <w:style w:styleId="Style_5_ch" w:type="character">
    <w:name w:val="toc 7"/>
    <w:link w:val="Style_5"/>
    <w:rPr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sz w:val="22"/>
    </w:rPr>
  </w:style>
  <w:style w:styleId="Style_6_ch" w:type="character">
    <w:name w:val="Endnote"/>
    <w:link w:val="Style_6"/>
    <w:rPr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b w:val="1"/>
      <w:sz w:val="26"/>
    </w:rPr>
  </w:style>
  <w:style w:styleId="Style_7_ch" w:type="character">
    <w:name w:val="heading 3"/>
    <w:link w:val="Style_7"/>
    <w:rPr>
      <w:b w:val="1"/>
      <w:sz w:val="26"/>
    </w:rPr>
  </w:style>
  <w:style w:styleId="Style_8" w:type="paragraph">
    <w:name w:val="Обычный1"/>
    <w:link w:val="Style_8_ch"/>
    <w:rPr>
      <w:rFonts w:ascii="XO Thames" w:hAnsi="XO Thames"/>
      <w:sz w:val="28"/>
    </w:rPr>
  </w:style>
  <w:style w:styleId="Style_8_ch" w:type="character">
    <w:name w:val="Обычный1"/>
    <w:link w:val="Style_8"/>
    <w:rPr>
      <w:rFonts w:ascii="XO Thames" w:hAnsi="XO Thames"/>
      <w:sz w:val="28"/>
    </w:rPr>
  </w:style>
  <w:style w:styleId="Style_9" w:type="paragraph">
    <w:name w:val="toc 3"/>
    <w:next w:val="Style_1"/>
    <w:link w:val="Style_9_ch"/>
    <w:uiPriority w:val="39"/>
    <w:pPr>
      <w:ind w:firstLine="0" w:left="400"/>
    </w:pPr>
    <w:rPr>
      <w:sz w:val="28"/>
    </w:rPr>
  </w:style>
  <w:style w:styleId="Style_9_ch" w:type="character">
    <w:name w:val="toc 3"/>
    <w:link w:val="Style_9"/>
    <w:rPr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b w:val="1"/>
      <w:sz w:val="22"/>
    </w:rPr>
  </w:style>
  <w:style w:styleId="Style_10_ch" w:type="character">
    <w:name w:val="heading 5"/>
    <w:link w:val="Style_10"/>
    <w:rPr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b w:val="1"/>
      <w:sz w:val="32"/>
    </w:rPr>
  </w:style>
  <w:style w:styleId="Style_11_ch" w:type="character">
    <w:name w:val="heading 1"/>
    <w:link w:val="Style_11"/>
    <w:rPr>
      <w:b w:val="1"/>
      <w:sz w:val="32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sz w:val="22"/>
    </w:rPr>
  </w:style>
  <w:style w:styleId="Style_14_ch" w:type="character">
    <w:name w:val="Footnote"/>
    <w:link w:val="Style_14"/>
    <w:rPr>
      <w:sz w:val="22"/>
    </w:rPr>
  </w:style>
  <w:style w:styleId="Style_15" w:type="paragraph">
    <w:name w:val="toc 1"/>
    <w:next w:val="Style_1"/>
    <w:link w:val="Style_15_ch"/>
    <w:uiPriority w:val="39"/>
    <w:rPr>
      <w:b w:val="1"/>
      <w:sz w:val="28"/>
    </w:rPr>
  </w:style>
  <w:style w:styleId="Style_15_ch" w:type="character">
    <w:name w:val="toc 1"/>
    <w:link w:val="Style_15"/>
    <w:rPr>
      <w:b w:val="1"/>
      <w:sz w:val="28"/>
    </w:rPr>
  </w:style>
  <w:style w:styleId="Style_16" w:type="paragraph">
    <w:name w:val="Header and Footer"/>
    <w:link w:val="Style_16_ch"/>
    <w:pPr>
      <w:ind/>
      <w:jc w:val="both"/>
    </w:pPr>
    <w:rPr>
      <w:sz w:val="28"/>
    </w:rPr>
  </w:style>
  <w:style w:styleId="Style_16_ch" w:type="character">
    <w:name w:val="Header and Footer"/>
    <w:link w:val="Style_16"/>
    <w:rPr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</w:pPr>
    <w:rPr>
      <w:sz w:val="28"/>
    </w:rPr>
  </w:style>
  <w:style w:styleId="Style_17_ch" w:type="character">
    <w:name w:val="toc 9"/>
    <w:link w:val="Style_17"/>
    <w:rPr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</w:pPr>
    <w:rPr>
      <w:sz w:val="28"/>
    </w:rPr>
  </w:style>
  <w:style w:styleId="Style_18_ch" w:type="character">
    <w:name w:val="toc 8"/>
    <w:link w:val="Style_18"/>
    <w:rPr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</w:pPr>
    <w:rPr>
      <w:sz w:val="28"/>
    </w:rPr>
  </w:style>
  <w:style w:styleId="Style_19_ch" w:type="character">
    <w:name w:val="toc 5"/>
    <w:link w:val="Style_19"/>
    <w:rPr>
      <w:sz w:val="28"/>
    </w:rPr>
  </w:style>
  <w:style w:styleId="Style_20" w:type="paragraph">
    <w:name w:val="Гиперссылка1"/>
    <w:link w:val="Style_20_ch"/>
    <w:rPr>
      <w:color w:val="0000FF"/>
      <w:u w:val="single"/>
    </w:rPr>
  </w:style>
  <w:style w:styleId="Style_20_ch" w:type="character">
    <w:name w:val="Гиперссылка1"/>
    <w:link w:val="Style_20"/>
    <w:rPr>
      <w:color w:val="0000FF"/>
      <w:u w:val="single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i w:val="1"/>
    </w:rPr>
  </w:style>
  <w:style w:styleId="Style_21_ch" w:type="character">
    <w:name w:val="Subtitle"/>
    <w:link w:val="Style_21"/>
    <w:rPr>
      <w:i w:val="1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b w:val="1"/>
      <w:caps w:val="1"/>
      <w:sz w:val="40"/>
    </w:rPr>
  </w:style>
  <w:style w:styleId="Style_22_ch" w:type="character">
    <w:name w:val="Title"/>
    <w:link w:val="Style_22"/>
    <w:rPr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b w:val="1"/>
    </w:rPr>
  </w:style>
  <w:style w:styleId="Style_23_ch" w:type="character">
    <w:name w:val="heading 4"/>
    <w:link w:val="Style_23"/>
    <w:rPr>
      <w:b w:val="1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b w:val="1"/>
      <w:sz w:val="28"/>
    </w:rPr>
  </w:style>
  <w:style w:styleId="Style_24_ch" w:type="character">
    <w:name w:val="heading 2"/>
    <w:link w:val="Style_24"/>
    <w:rPr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2026-05-13T08:19:30Z</dcterms:modified>
</cp:coreProperties>
</file>