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 w:firstLine="567" w:left="0"/>
        <w:rPr>
          <w:rFonts w:ascii="Times New Roman" w:hAnsi="Times New Roman"/>
        </w:rPr>
      </w:pPr>
      <w:r>
        <w:rPr>
          <w:rFonts w:ascii="Times New Roman" w:hAnsi="Times New Roman"/>
        </w:rPr>
        <w:t>О порядке переноса срока капитального ремонта в многоквартирном доме</w:t>
      </w:r>
    </w:p>
    <w:p w14:paraId="02000000">
      <w:pPr>
        <w:ind w:firstLine="567" w:left="0"/>
        <w:rPr>
          <w:rFonts w:ascii="Times New Roman" w:hAnsi="Times New Roman"/>
        </w:rPr>
      </w:pPr>
    </w:p>
    <w:p w14:paraId="03000000">
      <w:pPr>
        <w:ind w:firstLine="567"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Взнос на капитальный ремонт включен в структуру платы за жилое помещение и обязателен для оплаты всеми собственниками помещений в многоквартирном доме с момента возникновения права </w:t>
      </w:r>
      <w:r>
        <w:rPr>
          <w:rFonts w:ascii="Times New Roman" w:hAnsi="Times New Roman"/>
        </w:rPr>
        <w:t>собственности на помещения в этом доме и уплачивается соразмерно доле в праве общей собственности на это имущество (часть 2 статьи 154, часть 2 статьи 155 часть 1, 3 статьи 158, часть 1 статьи 169 ЖК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РФ).</w:t>
      </w:r>
    </w:p>
    <w:p w14:paraId="04000000">
      <w:pPr>
        <w:ind w:firstLine="567" w:left="0"/>
        <w:rPr>
          <w:rFonts w:ascii="Times New Roman" w:hAnsi="Times New Roman"/>
        </w:rPr>
      </w:pPr>
      <w:r>
        <w:rPr>
          <w:rFonts w:ascii="Times New Roman" w:hAnsi="Times New Roman"/>
        </w:rPr>
        <w:t>Формирование фонда многоквартирного дома, осуществл</w:t>
      </w:r>
      <w:r>
        <w:rPr>
          <w:rFonts w:ascii="Times New Roman" w:hAnsi="Times New Roman"/>
        </w:rPr>
        <w:t>яется на счете регионального оператора.</w:t>
      </w:r>
    </w:p>
    <w:p w14:paraId="05000000">
      <w:pPr>
        <w:ind w:firstLine="567" w:left="0"/>
        <w:rPr>
          <w:rFonts w:ascii="Times New Roman" w:hAnsi="Times New Roman"/>
        </w:rPr>
      </w:pPr>
      <w:r>
        <w:rPr>
          <w:rFonts w:ascii="Times New Roman" w:hAnsi="Times New Roman"/>
        </w:rPr>
        <w:t>Частью 1 статьи 182 ЖК РФ установлено, что региональный оператор обеспечивает проведение капитального ремонта общего имущества в многоквартирном доме, собственники помещений в котором формируют фонд капитального ремо</w:t>
      </w:r>
      <w:r>
        <w:rPr>
          <w:rFonts w:ascii="Times New Roman" w:hAnsi="Times New Roman"/>
        </w:rPr>
        <w:t>нта на счете регионального оператора, в объеме и в сроки, которые предусмотрены региональной программой капитального ремонта.</w:t>
      </w:r>
    </w:p>
    <w:p w14:paraId="06000000">
      <w:pPr>
        <w:ind w:firstLine="567" w:left="0"/>
        <w:rPr>
          <w:rFonts w:ascii="Times New Roman" w:hAnsi="Times New Roman"/>
        </w:rPr>
      </w:pPr>
      <w:r>
        <w:rPr>
          <w:rFonts w:ascii="Times New Roman" w:hAnsi="Times New Roman"/>
        </w:rPr>
        <w:t>С</w:t>
      </w:r>
      <w:r>
        <w:rPr>
          <w:rFonts w:ascii="Times New Roman" w:hAnsi="Times New Roman"/>
        </w:rPr>
        <w:t>ведения о размере денежных средств, накопленных на специальном счете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и сроках капитального ремонта Вашего дома можно узнать в </w:t>
      </w:r>
      <w:r>
        <w:rPr>
          <w:rFonts w:ascii="Times New Roman" w:hAnsi="Times New Roman"/>
        </w:rPr>
        <w:t>Региональной программе, утвержденной постановлением правительства Новосибирской области от  24.04.2026 № 180-п «О внесени</w:t>
      </w:r>
      <w:r>
        <w:rPr>
          <w:rFonts w:ascii="Times New Roman" w:hAnsi="Times New Roman"/>
        </w:rPr>
        <w:t>и изменений в постановление Правительства Новосибирской области от 27.11.2013 № 524-п»,  и опубликованной в сети Интернет по ссылке https://www.fondgkh-nso.ru/category/general/reg-prog/.</w:t>
      </w:r>
    </w:p>
    <w:p w14:paraId="07000000">
      <w:pPr>
        <w:ind w:firstLine="567" w:left="0"/>
        <w:rPr>
          <w:rFonts w:ascii="Times New Roman" w:hAnsi="Times New Roman"/>
        </w:rPr>
      </w:pPr>
      <w:r>
        <w:rPr>
          <w:rFonts w:ascii="Times New Roman" w:hAnsi="Times New Roman"/>
        </w:rPr>
        <w:t>Кроме того, собственники помещений в многоквартирном доме вправе прин</w:t>
      </w:r>
      <w:r>
        <w:rPr>
          <w:rFonts w:ascii="Times New Roman" w:hAnsi="Times New Roman"/>
        </w:rPr>
        <w:t>ять решение об изменении способа формирования фонда капитального ремонта на специальный счет. </w:t>
      </w:r>
    </w:p>
    <w:p w14:paraId="08000000">
      <w:pPr>
        <w:ind w:firstLine="567"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Согласно </w:t>
      </w:r>
      <w:r>
        <w:rPr>
          <w:rFonts w:ascii="Times New Roman" w:hAnsi="Times New Roman"/>
        </w:rPr>
        <w:t>ч</w:t>
      </w:r>
      <w:r>
        <w:rPr>
          <w:rFonts w:ascii="Times New Roman" w:hAnsi="Times New Roman"/>
        </w:rPr>
        <w:t>. 4 ст. 170 ЖК РФ в случае, если собственники помещений в многоквартирном доме в качестве способа формирования фонда капитального ремонта выбрали форми</w:t>
      </w:r>
      <w:r>
        <w:rPr>
          <w:rFonts w:ascii="Times New Roman" w:hAnsi="Times New Roman"/>
        </w:rPr>
        <w:t>рование его на специальном счете, решением общего собрания собственников помещений в многоквартирном доме должны быть определены:</w:t>
      </w:r>
    </w:p>
    <w:p w14:paraId="09000000">
      <w:pPr>
        <w:ind w:firstLine="567" w:left="0"/>
        <w:rPr>
          <w:rFonts w:ascii="Times New Roman" w:hAnsi="Times New Roman"/>
        </w:rPr>
      </w:pPr>
      <w:r>
        <w:rPr>
          <w:rFonts w:ascii="Times New Roman" w:hAnsi="Times New Roman"/>
        </w:rPr>
        <w:t>1) размер ежемесячного взноса на капитальный ремонт, который не должен быть менее чем минимальный размер взноса на капитальный</w:t>
      </w:r>
      <w:r>
        <w:rPr>
          <w:rFonts w:ascii="Times New Roman" w:hAnsi="Times New Roman"/>
        </w:rPr>
        <w:t xml:space="preserve"> ремонт, установленный нормативным правовым актом субъекта Российской Федерации;</w:t>
      </w:r>
    </w:p>
    <w:p w14:paraId="0A000000">
      <w:pPr>
        <w:ind w:firstLine="567" w:left="0"/>
        <w:rPr>
          <w:rFonts w:ascii="Times New Roman" w:hAnsi="Times New Roman"/>
        </w:rPr>
      </w:pPr>
      <w:r>
        <w:rPr>
          <w:rFonts w:ascii="Times New Roman" w:hAnsi="Times New Roman"/>
        </w:rPr>
        <w:t>2) владелец специального счета;</w:t>
      </w:r>
    </w:p>
    <w:p w14:paraId="0B000000">
      <w:pPr>
        <w:ind w:firstLine="567" w:left="0"/>
        <w:rPr>
          <w:rFonts w:ascii="Times New Roman" w:hAnsi="Times New Roman"/>
        </w:rPr>
      </w:pPr>
      <w:r>
        <w:rPr>
          <w:rFonts w:ascii="Times New Roman" w:hAnsi="Times New Roman"/>
        </w:rPr>
        <w:t>3) кредитная организация, в которой будет открыт специальный счет.</w:t>
      </w:r>
    </w:p>
    <w:p w14:paraId="0C000000">
      <w:pPr>
        <w:ind w:firstLine="567" w:left="0"/>
        <w:rPr>
          <w:rFonts w:ascii="Times New Roman" w:hAnsi="Times New Roman"/>
        </w:rPr>
      </w:pPr>
      <w:r>
        <w:rPr>
          <w:rFonts w:ascii="Times New Roman" w:hAnsi="Times New Roman"/>
        </w:rPr>
        <w:t>Согласно части 5 статьи 173 ЖК РФ решение о прекращении формирования фонда к</w:t>
      </w:r>
      <w:r>
        <w:rPr>
          <w:rFonts w:ascii="Times New Roman" w:hAnsi="Times New Roman"/>
        </w:rPr>
        <w:t xml:space="preserve">апитального ремонта на счете регионального оператора и формировании </w:t>
      </w:r>
      <w:r>
        <w:rPr>
          <w:rFonts w:ascii="Times New Roman" w:hAnsi="Times New Roman"/>
        </w:rPr>
        <w:t>фонда капитального ремонта на специальном счете вступает в силу через один год после направления региональному оператору решения общего собрания собственников помещений в многоквартирном д</w:t>
      </w:r>
      <w:r>
        <w:rPr>
          <w:rFonts w:ascii="Times New Roman" w:hAnsi="Times New Roman"/>
        </w:rPr>
        <w:t>оме в соответствии с частью 4 статьи 173 ЖК РФ, если меньший срок не установлен законом субъекта Российской Федерации, но не ранее наступления условия, указанного в части 2 статьи 173 ЖК РФ.</w:t>
      </w:r>
      <w:r>
        <w:rPr>
          <w:rFonts w:ascii="Times New Roman" w:hAnsi="Times New Roman"/>
        </w:rPr>
        <w:t xml:space="preserve"> В течение пяти дней после вступления в силу указанного решения ре</w:t>
      </w:r>
      <w:r>
        <w:rPr>
          <w:rFonts w:ascii="Times New Roman" w:hAnsi="Times New Roman"/>
        </w:rPr>
        <w:t>гиональный оператор перечисляет средства фонда капитального ремонта на специальный счет.</w:t>
      </w:r>
    </w:p>
    <w:p w14:paraId="0D000000">
      <w:pPr>
        <w:ind w:firstLine="567" w:left="0"/>
        <w:rPr>
          <w:rFonts w:ascii="Times New Roman" w:hAnsi="Times New Roman"/>
        </w:rPr>
      </w:pPr>
    </w:p>
    <w:p w14:paraId="0E000000">
      <w:pPr>
        <w:ind w:firstLine="0" w:left="0"/>
        <w:rPr>
          <w:rFonts w:ascii="Times New Roman" w:hAnsi="Times New Roman"/>
        </w:rPr>
      </w:pPr>
      <w:r>
        <w:rPr>
          <w:rFonts w:ascii="Times New Roman" w:hAnsi="Times New Roman"/>
        </w:rPr>
        <w:t>Старший помощник прокурора                                                             Д.А. Макшанцев</w:t>
      </w:r>
    </w:p>
    <w:sectPr>
      <w:pgSz w:h="16838" w:orient="portrait" w:w="11906"/>
      <w:pgMar w:bottom="680" w:footer="720" w:gutter="0" w:header="720" w:left="1304" w:right="539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ind/>
      <w:jc w:val="both"/>
    </w:pPr>
    <w:rPr>
      <w:sz w:val="28"/>
    </w:rPr>
  </w:style>
  <w:style w:default="1" w:styleId="Style_1_ch" w:type="character">
    <w:name w:val="Normal"/>
    <w:link w:val="Style_1"/>
    <w:rPr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</w:pPr>
    <w:rPr>
      <w:sz w:val="28"/>
    </w:rPr>
  </w:style>
  <w:style w:styleId="Style_2_ch" w:type="character">
    <w:name w:val="toc 2"/>
    <w:link w:val="Style_2"/>
    <w:rPr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</w:pPr>
    <w:rPr>
      <w:sz w:val="28"/>
    </w:rPr>
  </w:style>
  <w:style w:styleId="Style_3_ch" w:type="character">
    <w:name w:val="toc 4"/>
    <w:link w:val="Style_3"/>
    <w:rPr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</w:pPr>
    <w:rPr>
      <w:sz w:val="28"/>
    </w:rPr>
  </w:style>
  <w:style w:styleId="Style_4_ch" w:type="character">
    <w:name w:val="toc 6"/>
    <w:link w:val="Style_4"/>
    <w:rPr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</w:pPr>
    <w:rPr>
      <w:sz w:val="28"/>
    </w:rPr>
  </w:style>
  <w:style w:styleId="Style_5_ch" w:type="character">
    <w:name w:val="toc 7"/>
    <w:link w:val="Style_5"/>
    <w:rPr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sz w:val="22"/>
    </w:rPr>
  </w:style>
  <w:style w:styleId="Style_6_ch" w:type="character">
    <w:name w:val="Endnote"/>
    <w:link w:val="Style_6"/>
    <w:rPr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b w:val="1"/>
      <w:sz w:val="26"/>
    </w:rPr>
  </w:style>
  <w:style w:styleId="Style_7_ch" w:type="character">
    <w:name w:val="heading 3"/>
    <w:link w:val="Style_7"/>
    <w:rPr>
      <w:b w:val="1"/>
      <w:sz w:val="26"/>
    </w:rPr>
  </w:style>
  <w:style w:styleId="Style_8" w:type="paragraph">
    <w:name w:val="Гиперссылка1"/>
    <w:link w:val="Style_8_ch"/>
    <w:rPr>
      <w:color w:val="0000FF"/>
      <w:u w:val="single"/>
    </w:rPr>
  </w:style>
  <w:style w:styleId="Style_8_ch" w:type="character">
    <w:name w:val="Гиперссылка1"/>
    <w:link w:val="Style_8"/>
    <w:rPr>
      <w:color w:val="0000FF"/>
      <w:u w:val="single"/>
    </w:rPr>
  </w:style>
  <w:style w:styleId="Style_9" w:type="paragraph">
    <w:name w:val="toc 3"/>
    <w:next w:val="Style_1"/>
    <w:link w:val="Style_9_ch"/>
    <w:uiPriority w:val="39"/>
    <w:pPr>
      <w:ind w:firstLine="0" w:left="400"/>
    </w:pPr>
    <w:rPr>
      <w:sz w:val="28"/>
    </w:rPr>
  </w:style>
  <w:style w:styleId="Style_9_ch" w:type="character">
    <w:name w:val="toc 3"/>
    <w:link w:val="Style_9"/>
    <w:rPr>
      <w:sz w:val="28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11" w:type="paragraph">
    <w:name w:val="Обычный1"/>
    <w:link w:val="Style_11_ch"/>
    <w:rPr>
      <w:rFonts w:ascii="XO Thames" w:hAnsi="XO Thames"/>
      <w:sz w:val="28"/>
    </w:rPr>
  </w:style>
  <w:style w:styleId="Style_11_ch" w:type="character">
    <w:name w:val="Обычный1"/>
    <w:link w:val="Style_11"/>
    <w:rPr>
      <w:rFonts w:ascii="XO Thames" w:hAnsi="XO Thames"/>
      <w:sz w:val="28"/>
    </w:rPr>
  </w:style>
  <w:style w:styleId="Style_12" w:type="paragraph">
    <w:name w:val="heading 5"/>
    <w:next w:val="Style_1"/>
    <w:link w:val="Style_12_ch"/>
    <w:uiPriority w:val="9"/>
    <w:qFormat/>
    <w:pPr>
      <w:spacing w:after="120" w:before="120"/>
      <w:ind/>
      <w:jc w:val="both"/>
      <w:outlineLvl w:val="4"/>
    </w:pPr>
    <w:rPr>
      <w:b w:val="1"/>
      <w:sz w:val="22"/>
    </w:rPr>
  </w:style>
  <w:style w:styleId="Style_12_ch" w:type="character">
    <w:name w:val="heading 5"/>
    <w:link w:val="Style_12"/>
    <w:rPr>
      <w:b w:val="1"/>
      <w:sz w:val="22"/>
    </w:rPr>
  </w:style>
  <w:style w:styleId="Style_13" w:type="paragraph">
    <w:name w:val="heading 1"/>
    <w:next w:val="Style_1"/>
    <w:link w:val="Style_13_ch"/>
    <w:uiPriority w:val="9"/>
    <w:qFormat/>
    <w:pPr>
      <w:spacing w:after="120" w:before="120"/>
      <w:ind/>
      <w:jc w:val="both"/>
      <w:outlineLvl w:val="0"/>
    </w:pPr>
    <w:rPr>
      <w:b w:val="1"/>
      <w:sz w:val="32"/>
    </w:rPr>
  </w:style>
  <w:style w:styleId="Style_13_ch" w:type="character">
    <w:name w:val="heading 1"/>
    <w:link w:val="Style_13"/>
    <w:rPr>
      <w:b w:val="1"/>
      <w:sz w:val="32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sz w:val="22"/>
    </w:rPr>
  </w:style>
  <w:style w:styleId="Style_15_ch" w:type="character">
    <w:name w:val="Footnote"/>
    <w:link w:val="Style_15"/>
    <w:rPr>
      <w:sz w:val="22"/>
    </w:rPr>
  </w:style>
  <w:style w:styleId="Style_16" w:type="paragraph">
    <w:name w:val="toc 1"/>
    <w:next w:val="Style_1"/>
    <w:link w:val="Style_16_ch"/>
    <w:uiPriority w:val="39"/>
    <w:rPr>
      <w:b w:val="1"/>
      <w:sz w:val="28"/>
    </w:rPr>
  </w:style>
  <w:style w:styleId="Style_16_ch" w:type="character">
    <w:name w:val="toc 1"/>
    <w:link w:val="Style_16"/>
    <w:rPr>
      <w:b w:val="1"/>
      <w:sz w:val="28"/>
    </w:rPr>
  </w:style>
  <w:style w:styleId="Style_17" w:type="paragraph">
    <w:name w:val="Header and Footer"/>
    <w:link w:val="Style_17_ch"/>
    <w:pPr>
      <w:ind/>
      <w:jc w:val="both"/>
    </w:pPr>
    <w:rPr>
      <w:sz w:val="28"/>
    </w:rPr>
  </w:style>
  <w:style w:styleId="Style_17_ch" w:type="character">
    <w:name w:val="Header and Footer"/>
    <w:link w:val="Style_17"/>
    <w:rPr>
      <w:sz w:val="28"/>
    </w:rPr>
  </w:style>
  <w:style w:styleId="Style_18" w:type="paragraph">
    <w:name w:val="toc 9"/>
    <w:next w:val="Style_1"/>
    <w:link w:val="Style_18_ch"/>
    <w:uiPriority w:val="39"/>
    <w:pPr>
      <w:ind w:firstLine="0" w:left="1600"/>
    </w:pPr>
    <w:rPr>
      <w:sz w:val="28"/>
    </w:rPr>
  </w:style>
  <w:style w:styleId="Style_18_ch" w:type="character">
    <w:name w:val="toc 9"/>
    <w:link w:val="Style_18"/>
    <w:rPr>
      <w:sz w:val="28"/>
    </w:rPr>
  </w:style>
  <w:style w:styleId="Style_19" w:type="paragraph">
    <w:name w:val="toc 8"/>
    <w:next w:val="Style_1"/>
    <w:link w:val="Style_19_ch"/>
    <w:uiPriority w:val="39"/>
    <w:pPr>
      <w:ind w:firstLine="0" w:left="1400"/>
    </w:pPr>
    <w:rPr>
      <w:sz w:val="28"/>
    </w:rPr>
  </w:style>
  <w:style w:styleId="Style_19_ch" w:type="character">
    <w:name w:val="toc 8"/>
    <w:link w:val="Style_19"/>
    <w:rPr>
      <w:sz w:val="28"/>
    </w:rPr>
  </w:style>
  <w:style w:styleId="Style_20" w:type="paragraph">
    <w:name w:val="toc 5"/>
    <w:next w:val="Style_1"/>
    <w:link w:val="Style_20_ch"/>
    <w:uiPriority w:val="39"/>
    <w:pPr>
      <w:ind w:firstLine="0" w:left="800"/>
    </w:pPr>
    <w:rPr>
      <w:sz w:val="28"/>
    </w:rPr>
  </w:style>
  <w:style w:styleId="Style_20_ch" w:type="character">
    <w:name w:val="toc 5"/>
    <w:link w:val="Style_20"/>
    <w:rPr>
      <w:sz w:val="28"/>
    </w:rPr>
  </w:style>
  <w:style w:styleId="Style_21" w:type="paragraph">
    <w:name w:val="Subtitle"/>
    <w:next w:val="Style_1"/>
    <w:link w:val="Style_21_ch"/>
    <w:uiPriority w:val="11"/>
    <w:qFormat/>
    <w:pPr>
      <w:ind/>
      <w:jc w:val="both"/>
    </w:pPr>
    <w:rPr>
      <w:i w:val="1"/>
    </w:rPr>
  </w:style>
  <w:style w:styleId="Style_21_ch" w:type="character">
    <w:name w:val="Subtitle"/>
    <w:link w:val="Style_21"/>
    <w:rPr>
      <w:i w:val="1"/>
    </w:rPr>
  </w:style>
  <w:style w:styleId="Style_22" w:type="paragraph">
    <w:name w:val="Title"/>
    <w:next w:val="Style_1"/>
    <w:link w:val="Style_22_ch"/>
    <w:uiPriority w:val="10"/>
    <w:qFormat/>
    <w:pPr>
      <w:spacing w:after="567" w:before="567"/>
      <w:ind/>
      <w:jc w:val="center"/>
    </w:pPr>
    <w:rPr>
      <w:b w:val="1"/>
      <w:caps w:val="1"/>
      <w:sz w:val="40"/>
    </w:rPr>
  </w:style>
  <w:style w:styleId="Style_22_ch" w:type="character">
    <w:name w:val="Title"/>
    <w:link w:val="Style_22"/>
    <w:rPr>
      <w:b w:val="1"/>
      <w:caps w:val="1"/>
      <w:sz w:val="40"/>
    </w:rPr>
  </w:style>
  <w:style w:styleId="Style_23" w:type="paragraph">
    <w:name w:val="heading 4"/>
    <w:next w:val="Style_1"/>
    <w:link w:val="Style_23_ch"/>
    <w:uiPriority w:val="9"/>
    <w:qFormat/>
    <w:pPr>
      <w:spacing w:after="120" w:before="120"/>
      <w:ind/>
      <w:jc w:val="both"/>
      <w:outlineLvl w:val="3"/>
    </w:pPr>
    <w:rPr>
      <w:b w:val="1"/>
    </w:rPr>
  </w:style>
  <w:style w:styleId="Style_23_ch" w:type="character">
    <w:name w:val="heading 4"/>
    <w:link w:val="Style_23"/>
    <w:rPr>
      <w:b w:val="1"/>
    </w:rPr>
  </w:style>
  <w:style w:styleId="Style_24" w:type="paragraph">
    <w:name w:val="heading 2"/>
    <w:next w:val="Style_1"/>
    <w:link w:val="Style_24_ch"/>
    <w:uiPriority w:val="9"/>
    <w:qFormat/>
    <w:pPr>
      <w:spacing w:after="120" w:before="120"/>
      <w:ind/>
      <w:jc w:val="both"/>
      <w:outlineLvl w:val="1"/>
    </w:pPr>
    <w:rPr>
      <w:b w:val="1"/>
      <w:sz w:val="28"/>
    </w:rPr>
  </w:style>
  <w:style w:styleId="Style_24_ch" w:type="character">
    <w:name w:val="heading 2"/>
    <w:link w:val="Style_24"/>
    <w:rPr>
      <w:b w:val="1"/>
      <w:sz w:val="28"/>
    </w:rPr>
  </w:style>
  <w:style w:default="1" w:styleId="Style_2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2026-05-13T08:19:05Z</dcterms:modified>
</cp:coreProperties>
</file>